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86R13688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1752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expansion of eligibility for Medicaid to all persons for whom federal matching money is available.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32.02472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32.02472.</w:t>
      </w:r>
      <w:r>
        <w:rPr>
          <w:u w:val="single"/>
        </w:rPr>
        <w:t xml:space="preserve"> </w:t>
      </w:r>
      <w:r>
        <w:rPr>
          <w:u w:val="single"/>
        </w:rPr>
        <w:t xml:space="preserve"> </w:t>
      </w:r>
      <w:r>
        <w:rPr>
          <w:u w:val="single"/>
        </w:rPr>
        <w:t xml:space="preserve">EXPANDED ELIGIBILITY FOR MEDICAL ASSISTANCE.  (a)  Notwithstanding any other law, the commission shall provide medical assistance to all persons who apply for that assistance and for whom federal matching money is available.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in cooperation with the comptroller and Legislative Budget Board, shall conduct a study regarding the cost effects of the expanded eligibility. </w:t>
      </w:r>
      <w:r>
        <w:rPr>
          <w:u w:val="single"/>
        </w:rPr>
        <w:t xml:space="preserve"> </w:t>
      </w:r>
      <w:r>
        <w:rPr>
          <w:u w:val="single"/>
        </w:rPr>
        <w:t xml:space="preserve">The study must identify: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estimated amount of health care costs hospital districts and counties in this state will save each state fiscal year by expanding that eligibility;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estimated reduction in uncompensated care costs to hospital districts and counties that will result from the expansion of medical assistance eligibility and that would otherwise be paid from hospital district and county tax revenue.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26, Tax Code, is amended by adding Section 26.0443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26.0443.</w:t>
      </w:r>
      <w:r>
        <w:rPr>
          <w:u w:val="single"/>
        </w:rPr>
        <w:t xml:space="preserve"> </w:t>
      </w:r>
      <w:r>
        <w:rPr>
          <w:u w:val="single"/>
        </w:rPr>
        <w:t xml:space="preserve"> </w:t>
      </w:r>
      <w:r>
        <w:rPr>
          <w:u w:val="single"/>
        </w:rPr>
        <w:t xml:space="preserve">TAX RATE ADJUSTMENT FOR EXPANDED ELIGIBILITY FOR MEDICAL ASSISTANCE UNDER FEDERAL LAW.  In the first tax year in which a hospital district or a county adopts a tax rate and in which the state expands eligibility for medical assistance in accordance with and provides medical assistance using federal matching money made available under federal law as required by Section 32.02472, Human Resources Code, the effective tax rate and the rollback tax rate for the hospital district or the county are decreased by the rate that, if applied to current total value, would impose an amount of taxes equal to the reduction in uncompensated care costs realized by the hospital district or county as identified under Section 32.02472(c)(2), Human Resources Code, that will result from the provision of that assistance.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32.02472, Human Resources Code, as added by this Act, applies only to an initial determination or recertification of eligibility of a person for medical assistance under Chapter 32, Human Resources Code, made on or after the date the section is implemented, regardless of the date the person applied for that assistance.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possible after the effective date of this Act, the executive commissioner of the Health and Human Services Commission shall take all necessary actions to expand eligibility for medical assistance under Chapter 32, Human Resources Code, in accordance with Section 32.02472, Human Resources Code, as added by this Act, including notifying appropriate federal agencies of that expanded eligibility.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any other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