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1766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a person who is the subject of a family violence protective order to surrender firearms owned by the person.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236, Local Government Code, is amended by adding Section 236.004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236.004.</w:t>
      </w:r>
      <w:r>
        <w:rPr>
          <w:u w:val="single"/>
        </w:rPr>
        <w:t xml:space="preserve"> </w:t>
      </w:r>
      <w:r>
        <w:rPr>
          <w:u w:val="single"/>
        </w:rPr>
        <w:t xml:space="preserve"> </w:t>
      </w:r>
      <w:r>
        <w:rPr>
          <w:u w:val="single"/>
        </w:rPr>
        <w:t xml:space="preserve">COUNTY TASK FORCES FOR SURRENDER AND RETURN OF FIREARMS DUE TO FAMILY VIOLENCE.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"Family violence center" means a public or private nonprofit organization that provides, as its primary purpose, services to victims of family violence, including the services under Section 51.005(b)(3), Human Resources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"Firearm" has the meaning assigned by Section 46.01, Penal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"Task force" means a task force for the surrender and return of firearms due to family violence, as created by a county under this section.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"Victim of family violence" has the meaning assigned by Section 51.002, Human Resources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county commissioners court shall establish a task force for the surrender and return of firearms due to family violence, including the following members if applicable for the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chief administrative officer of a family violence center or the chief administrator's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chief of police of the municipality having the largest population in the county or the chief's designee;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sheriff of the county or the sheriff's designee;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judge of a court in the county with jurisdiction over cases involving family violence;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prosecutor with jurisdiction in the county over cases involving family violence.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commissioners court shall call the first meeting of the task force at which the members shall elect a presiding officer. All subsequent meetings shall be held at the call of the presiding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presiding officer may appoint additional members to the task force if necessary for the task force to complete its duties under Subsection (g).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task force may consult with individuals or organizations having knowledge and experience in the issues of firearms and family violence.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vacancy for a member of the task force shall be filled immediately and in the same manner as the original appointment.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task force shall develop policy recommendations, model forms, and guidelines for best practices related to the surrender, receipt, storage, return, and disposal of firearms due to an order prohibiting a person from possessing a firearm following a finding of family violence entered by a court or an arrest or charge for an offense involving family violence,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protective order issued under Title 4, Family Code, or Chapter 7A, Code of Criminal Procedure;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magistrate's order of emergency protection issued under Article 17.292, Code of Criminal Procedure.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developing the recommendations, forms, and guidelines required under this section, 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consult with a family violence advocacy organization that provides services throughout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prioritize the safety of victims of family violence and law enforcement personnel;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due process is provided;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specific guidance on the surrender, receipt, and storage of a firearm and the return or disposal of a firearm;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proof of compliance with orders requiring the surrender of a firearm;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for an enforcement option if compliance is not proven within 48 hours of the issuance of an order requiring surrender of a firearm.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task force shall make available all recommendations, forms, and guidelines developed under this section to all judges with jurisdiction over cases involving family violence in the county and all law enforcement agencies with jurisdiction in the county.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task force shall meet not later than the 90th day following the end of each regular legislative session to review and amend any recommendations, forms, or guidelines developed under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 later than December 1 of each odd-numbered year, the task force shall provide the county commissioners court a report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task force members;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summary of all recommendations, forms, and guidelines developed under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practices and procedures in the courts and law enforcement agencies within the county in regard to the surrender, receipt, storage, return, and disposal of firearms due to family violence;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potential sources of funding available to implement recommendations.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commissioners courts of multiple counties may agree to form a regional task force under this section to serve the needs of all counties in the agreement.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7A.05, Code of Criminal Procedure, is amended by adding Subsection (b-2) to read as follows:</w:t>
      </w:r>
    </w:p>
    <w:p w:rsidR="003F3435" w:rsidRDefault="0032493E">
      <w:pPr>
        <w:spacing w:line="480" w:lineRule="auto"/>
        <w:ind w:firstLine="720"/>
        <w:jc w:val="both"/>
      </w:pPr>
      <w:r>
        <w:rPr>
          <w:u w:val="single"/>
        </w:rPr>
        <w:t xml:space="preserve">(b-2)(1)</w:t>
      </w:r>
      <w:r>
        <w:rPr>
          <w:u w:val="single"/>
        </w:rPr>
        <w:t xml:space="preserve"> </w:t>
      </w:r>
      <w:r>
        <w:rPr>
          <w:u w:val="single"/>
        </w:rPr>
        <w:t xml:space="preserve"> </w:t>
      </w:r>
      <w:r>
        <w:rPr>
          <w:u w:val="single"/>
        </w:rPr>
        <w:t xml:space="preserve">In an order under Subsection (a)(2)(D), if the applicant's relationship to or association with the alleged offender is described by Section 71.0021(b), 71.003, or 71.005, Family Code, the court may also order the alleged offender to surrender all firearms owned by the offender.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order entered under this subsection 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notice to the alleged offender;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for the receipt and storage of and for the return or disposal of a surrendered firearm;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require proof of compliance.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When entering an order under this subsection, the court may adopt a recommendation, model form, or guideline developed by a task force under Section 236.004, Local Government Code, for the county in which the court is located.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17.292, Code of Criminal Procedure, is amended by adding Subsection (l-1) to read as follows:</w:t>
      </w:r>
    </w:p>
    <w:p w:rsidR="003F3435" w:rsidRDefault="0032493E">
      <w:pPr>
        <w:spacing w:line="480" w:lineRule="auto"/>
        <w:ind w:firstLine="720"/>
        <w:jc w:val="both"/>
      </w:pPr>
      <w:r>
        <w:rPr>
          <w:u w:val="single"/>
        </w:rPr>
        <w:t xml:space="preserve">(l-1)(1)</w:t>
      </w:r>
      <w:r>
        <w:rPr>
          <w:u w:val="single"/>
        </w:rPr>
        <w:t xml:space="preserve"> </w:t>
      </w:r>
      <w:r>
        <w:rPr>
          <w:u w:val="single"/>
        </w:rPr>
        <w:t xml:space="preserve"> </w:t>
      </w:r>
      <w:r>
        <w:rPr>
          <w:u w:val="single"/>
        </w:rPr>
        <w:t xml:space="preserve">If an order for emergency protection issued under this article prohibits the defendant from possessing a firearm and if the defendant was arrested for an offense involving family violence, the magistrate may also order the defendant to surrender all firearms owned by the defendant.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order entered under this subsection 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notice to the defendant;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for the receipt and storage of and for the return or disposal of a surrendered firearm;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require proof of compliance.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When entering an order under this subsection, the magistrate may adopt a recommendation, model form, or guideline developed by a task force under Section 236.004, Local Government Code, for the county in which the court is located.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85.022, Family Code, is amended by adding Subsections (c-1) and (c-2)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an order under Subsection (b)(6), the court may also order the person to surrender all firearms owned by the person.  Any order entered under this subsection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notice to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the receipt and storage of and for the return or disposal of a surrendered firearm;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proof of compliance.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When entering an order under Subsection (c-1), the court may adopt a recommendation, model form, or guideline developed by a task force under Section 236.004, Local Government Code, for the county in which the court is located.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Notwithstanding the requirement in Section 236.004, Local Government Code, as added by this Act, that a report be submitted by December 1 of each odd-numbered year, a task force created under that section shall submit its first report to the county commissioners court not later than June 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 protective order or magistrate's order of emergency protection entered on or after the effective date of this Act. A protective order or magistrate's order of emergency protection entered before the effective date of this Act is governed by the law in effect on the date the order was entered,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