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1771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2019; March</w:t>
      </w:r>
      <w:r xml:space="preserve">
        <w:t> </w:t>
      </w:r>
      <w:r>
        <w:t xml:space="preserve">14,</w:t>
      </w:r>
      <w:r xml:space="preserve">
        <w:t> </w:t>
      </w:r>
      <w:r>
        <w:t xml:space="preserve">2019, read first time and referred to Committee on Property Tax; May</w:t>
      </w:r>
      <w:r xml:space="preserve">
        <w:t> </w:t>
      </w:r>
      <w:r>
        <w:t xml:space="preserve">6,</w:t>
      </w:r>
      <w:r xml:space="preserve">
        <w:t> </w:t>
      </w:r>
      <w:r>
        <w:t xml:space="preserve">2019, reported adversely, with favorable Committee Substitute by the following vote:</w:t>
      </w:r>
      <w:r>
        <w:t xml:space="preserve"> </w:t>
      </w:r>
      <w:r>
        <w:t xml:space="preserve"> </w:t>
      </w:r>
      <w:r>
        <w:t xml:space="preserve">Yeas 3, Nays 2; May</w:t>
      </w:r>
      <w:r xml:space="preserve">
        <w:t> </w:t>
      </w:r>
      <w:r>
        <w:t xml:space="preserve">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1771</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 valorem taxation of a leasehold or other possessory interest in certain property owned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25.07, Tax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Sections 11.11(b) and (c) </w:t>
      </w:r>
      <w:r>
        <w:rPr>
          <w:u w:val="single"/>
        </w:rPr>
        <w:t xml:space="preserve">and by Subsection (d) of this section</w:t>
      </w:r>
      <w:r>
        <w:t xml:space="preserve">, a leasehold or other possessory interest in exempt property may not be listed if:</w:t>
      </w:r>
    </w:p>
    <w:p w:rsidR="003F3435" w:rsidRDefault="0032493E">
      <w:pPr>
        <w:spacing w:line="480" w:lineRule="auto"/>
        <w:ind w:firstLine="1440"/>
        <w:jc w:val="both"/>
      </w:pPr>
      <w:r>
        <w:t xml:space="preserve">(1)</w:t>
      </w:r>
      <w:r xml:space="preserve">
        <w:t> </w:t>
      </w:r>
      <w:r xml:space="preserve">
        <w:t> </w:t>
      </w:r>
      <w:r>
        <w:t xml:space="preserve">the property is permanent university fund land;</w:t>
      </w:r>
    </w:p>
    <w:p w:rsidR="003F3435" w:rsidRDefault="0032493E">
      <w:pPr>
        <w:spacing w:line="480" w:lineRule="auto"/>
        <w:ind w:firstLine="1440"/>
        <w:jc w:val="both"/>
      </w:pPr>
      <w:r>
        <w:t xml:space="preserve">(2)</w:t>
      </w:r>
      <w:r xml:space="preserve">
        <w:t> </w:t>
      </w:r>
      <w:r xml:space="preserve">
        <w:t> </w:t>
      </w:r>
      <w:r>
        <w:t xml:space="preserve">the property is county public school fund agricultural land;</w:t>
      </w:r>
    </w:p>
    <w:p w:rsidR="003F3435" w:rsidRDefault="0032493E">
      <w:pPr>
        <w:spacing w:line="480" w:lineRule="auto"/>
        <w:ind w:firstLine="1440"/>
        <w:jc w:val="both"/>
      </w:pPr>
      <w:r>
        <w:t xml:space="preserve">(3)</w:t>
      </w:r>
      <w:r xml:space="preserve">
        <w:t> </w:t>
      </w:r>
      <w:r xml:space="preserve">
        <w:t> </w:t>
      </w:r>
      <w:r>
        <w:t xml:space="preserve">the property is a part of a public transportation facility owned by a municipality or county and:</w:t>
      </w:r>
    </w:p>
    <w:p w:rsidR="003F3435" w:rsidRDefault="0032493E">
      <w:pPr>
        <w:spacing w:line="480" w:lineRule="auto"/>
        <w:ind w:firstLine="2160"/>
        <w:jc w:val="both"/>
      </w:pPr>
      <w:r>
        <w:t xml:space="preserve">(A)</w:t>
      </w:r>
      <w:r xml:space="preserve">
        <w:t> </w:t>
      </w:r>
      <w:r xml:space="preserve">
        <w:t> </w:t>
      </w:r>
      <w:r>
        <w:t xml:space="preserve">is an airport passenger terminal building or a building used primarily for maintenance of aircraft or other aircraft services, for aircraft equipment storage, or for air cargo;</w:t>
      </w:r>
    </w:p>
    <w:p w:rsidR="003F3435" w:rsidRDefault="0032493E">
      <w:pPr>
        <w:spacing w:line="480" w:lineRule="auto"/>
        <w:ind w:firstLine="2160"/>
        <w:jc w:val="both"/>
      </w:pPr>
      <w:r>
        <w:t xml:space="preserve">(B)</w:t>
      </w:r>
      <w:r xml:space="preserve">
        <w:t> </w:t>
      </w:r>
      <w:r xml:space="preserve">
        <w:t> </w:t>
      </w:r>
      <w:r>
        <w:t xml:space="preserve">is an airport fueling system facility;</w:t>
      </w:r>
    </w:p>
    <w:p w:rsidR="003F3435" w:rsidRDefault="0032493E">
      <w:pPr>
        <w:spacing w:line="480" w:lineRule="auto"/>
        <w:ind w:firstLine="2160"/>
        <w:jc w:val="both"/>
      </w:pPr>
      <w:r>
        <w:t xml:space="preserve">(C)</w:t>
      </w:r>
      <w:r xml:space="preserve">
        <w:t> </w:t>
      </w:r>
      <w:r xml:space="preserve">
        <w:t> </w:t>
      </w:r>
      <w:r>
        <w:t xml:space="preserve">is in a foreign-trade zone:</w:t>
      </w:r>
    </w:p>
    <w:p w:rsidR="003F3435" w:rsidRDefault="0032493E">
      <w:pPr>
        <w:spacing w:line="480" w:lineRule="auto"/>
        <w:ind w:firstLine="2880"/>
        <w:jc w:val="both"/>
      </w:pPr>
      <w:r>
        <w:t xml:space="preserve">(i)</w:t>
      </w:r>
      <w:r xml:space="preserve">
        <w:t> </w:t>
      </w:r>
      <w:r xml:space="preserve">
        <w:t> </w:t>
      </w:r>
      <w:r>
        <w:t xml:space="preserve">that has been granted to a joint airport board under Subchapter C, Chapter 681, Business &amp; Commerce Code;</w:t>
      </w:r>
    </w:p>
    <w:p w:rsidR="003F3435" w:rsidRDefault="0032493E">
      <w:pPr>
        <w:spacing w:line="480" w:lineRule="auto"/>
        <w:ind w:firstLine="2880"/>
        <w:jc w:val="both"/>
      </w:pPr>
      <w:r>
        <w:t xml:space="preserve">(ii)</w:t>
      </w:r>
      <w:r xml:space="preserve">
        <w:t> </w:t>
      </w:r>
      <w:r xml:space="preserve">
        <w:t> </w:t>
      </w:r>
      <w:r>
        <w:t xml:space="preserve">the area of which in the portion of the zone located in the airport operated by the joint airport board does not exceed 2,500 acres; and</w:t>
      </w:r>
    </w:p>
    <w:p w:rsidR="003F3435" w:rsidRDefault="0032493E">
      <w:pPr>
        <w:spacing w:line="480" w:lineRule="auto"/>
        <w:ind w:firstLine="2880"/>
        <w:jc w:val="both"/>
      </w:pPr>
      <w:r>
        <w:t xml:space="preserve">(iii)</w:t>
      </w:r>
      <w:r xml:space="preserve">
        <w:t> </w:t>
      </w:r>
      <w:r xml:space="preserve">
        <w:t> </w:t>
      </w:r>
      <w:r>
        <w:t xml:space="preserve">that is established and operating pursuant to federal law; or</w:t>
      </w:r>
    </w:p>
    <w:p w:rsidR="003F3435" w:rsidRDefault="0032493E">
      <w:pPr>
        <w:spacing w:line="480" w:lineRule="auto"/>
        <w:ind w:firstLine="2160"/>
        <w:jc w:val="both"/>
      </w:pPr>
      <w:r>
        <w:t xml:space="preserve">(D)(i)</w:t>
      </w:r>
      <w:r xml:space="preserve">
        <w:t> </w:t>
      </w:r>
      <w:r xml:space="preserve">
        <w:t> </w:t>
      </w:r>
      <w:r>
        <w:t xml:space="preserve">is in a foreign trade zone established pursuant to federal law after June 1, 1991, that operates pursuant to federal law;</w:t>
      </w:r>
    </w:p>
    <w:p w:rsidR="003F3435" w:rsidRDefault="0032493E">
      <w:pPr>
        <w:spacing w:line="480" w:lineRule="auto"/>
        <w:ind w:firstLine="2880"/>
        <w:jc w:val="both"/>
      </w:pPr>
      <w:r>
        <w:t xml:space="preserve">(ii)</w:t>
      </w:r>
      <w:r xml:space="preserve">
        <w:t> </w:t>
      </w:r>
      <w:r xml:space="preserve">
        <w:t> </w:t>
      </w:r>
      <w:r>
        <w:t xml:space="preserve">is contiguous to or has access via a taxiway to an airport located in two counties, one of which has a population of 500,000 or more according to the federal decennial census most recently preceding the establishment of the foreign trade zone; and</w:t>
      </w:r>
    </w:p>
    <w:p w:rsidR="003F3435" w:rsidRDefault="0032493E">
      <w:pPr>
        <w:spacing w:line="480" w:lineRule="auto"/>
        <w:ind w:firstLine="2880"/>
        <w:jc w:val="both"/>
      </w:pPr>
      <w:r>
        <w:t xml:space="preserve">(iii)</w:t>
      </w:r>
      <w:r xml:space="preserve">
        <w:t> </w:t>
      </w:r>
      <w:r xml:space="preserve">
        <w:t> </w:t>
      </w:r>
      <w:r>
        <w:t xml:space="preserve">is owned, directly or through a corporation organized under the Development Corporation Act (Subtitle C1, Title 12, Local Government Code), by the same municipality that owns the airport;</w:t>
      </w:r>
    </w:p>
    <w:p w:rsidR="003F3435" w:rsidRDefault="0032493E">
      <w:pPr>
        <w:spacing w:line="480" w:lineRule="auto"/>
        <w:ind w:firstLine="1440"/>
        <w:jc w:val="both"/>
      </w:pPr>
      <w:r>
        <w:t xml:space="preserve">(4)</w:t>
      </w:r>
      <w:r xml:space="preserve">
        <w:t> </w:t>
      </w:r>
      <w:r xml:space="preserve">
        <w:t> </w:t>
      </w:r>
      <w:r>
        <w:t xml:space="preserve">the interest is in a part of:</w:t>
      </w:r>
    </w:p>
    <w:p w:rsidR="003F3435" w:rsidRDefault="0032493E">
      <w:pPr>
        <w:spacing w:line="480" w:lineRule="auto"/>
        <w:ind w:firstLine="2160"/>
        <w:jc w:val="both"/>
      </w:pPr>
      <w:r>
        <w:t xml:space="preserve">(A)</w:t>
      </w:r>
      <w:r xml:space="preserve">
        <w:t> </w:t>
      </w:r>
      <w:r xml:space="preserve">
        <w:t> </w:t>
      </w:r>
      <w:r>
        <w:t xml:space="preserve">a park, market, fairground, or similar public facility that is owned by a municipality; or</w:t>
      </w:r>
    </w:p>
    <w:p w:rsidR="003F3435" w:rsidRDefault="0032493E">
      <w:pPr>
        <w:spacing w:line="480" w:lineRule="auto"/>
        <w:ind w:firstLine="2160"/>
        <w:jc w:val="both"/>
      </w:pPr>
      <w:r>
        <w:t xml:space="preserve">(B)</w:t>
      </w:r>
      <w:r xml:space="preserve">
        <w:t> </w:t>
      </w:r>
      <w:r xml:space="preserve">
        <w:t> </w:t>
      </w:r>
      <w:r>
        <w:t xml:space="preserve">a convention center, visitor center, sports facility with permanent seating, concert hall, arena, or stadium that is owned by a municipality as such leasehold or possessory interest serves a governmental, municipal, or public purpose or function when the facility is open to the public, regardless of whether a fee is charged for admission;</w:t>
      </w:r>
    </w:p>
    <w:p w:rsidR="003F3435" w:rsidRDefault="0032493E">
      <w:pPr>
        <w:spacing w:line="480" w:lineRule="auto"/>
        <w:ind w:firstLine="1440"/>
        <w:jc w:val="both"/>
      </w:pPr>
      <w:r>
        <w:t xml:space="preserve">(5)</w:t>
      </w:r>
      <w:r xml:space="preserve">
        <w:t> </w:t>
      </w:r>
      <w:r xml:space="preserve">
        <w:t> </w:t>
      </w:r>
      <w:r>
        <w:t xml:space="preserve">the interest involves only the right to use the property for grazing or other agricultural purposes;</w:t>
      </w:r>
    </w:p>
    <w:p w:rsidR="003F3435" w:rsidRDefault="0032493E">
      <w:pPr>
        <w:spacing w:line="480" w:lineRule="auto"/>
        <w:ind w:firstLine="1440"/>
        <w:jc w:val="both"/>
      </w:pPr>
      <w:r>
        <w:t xml:space="preserve">(6)</w:t>
      </w:r>
      <w:r xml:space="preserve">
        <w:t> </w:t>
      </w:r>
      <w:r xml:space="preserve">
        <w:t> </w:t>
      </w:r>
      <w:r>
        <w:t xml:space="preserve">the property is:</w:t>
      </w:r>
    </w:p>
    <w:p w:rsidR="003F3435" w:rsidRDefault="0032493E">
      <w:pPr>
        <w:spacing w:line="480" w:lineRule="auto"/>
        <w:ind w:firstLine="2160"/>
        <w:jc w:val="both"/>
      </w:pPr>
      <w:r>
        <w:t xml:space="preserve">(A)</w:t>
      </w:r>
      <w:r xml:space="preserve">
        <w:t> </w:t>
      </w:r>
      <w:r xml:space="preserve">
        <w:t> </w:t>
      </w:r>
      <w:r>
        <w:t xml:space="preserve">owned by a municipality, a public port, or a navigation district created or operating under Section 59, Article XVI, Texas Constitution, or under a statute enacted under Section 59, Article XVI, Texas Constitution; and</w:t>
      </w:r>
    </w:p>
    <w:p w:rsidR="003F3435" w:rsidRDefault="0032493E">
      <w:pPr>
        <w:spacing w:line="480" w:lineRule="auto"/>
        <w:ind w:firstLine="2160"/>
        <w:jc w:val="both"/>
      </w:pPr>
      <w:r>
        <w:t xml:space="preserve">(B)</w:t>
      </w:r>
      <w:r xml:space="preserve">
        <w:t> </w:t>
      </w:r>
      <w:r xml:space="preserve">
        <w:t> </w:t>
      </w:r>
      <w:r>
        <w:t xml:space="preserve">used as an aid or facility incidental to or useful in the operation or development of a port or waterway or in aid of navigation-related commerce; or</w:t>
      </w:r>
    </w:p>
    <w:p w:rsidR="003F3435" w:rsidRDefault="0032493E">
      <w:pPr>
        <w:spacing w:line="480" w:lineRule="auto"/>
        <w:ind w:firstLine="1440"/>
        <w:jc w:val="both"/>
      </w:pPr>
      <w:r>
        <w:t xml:space="preserve">(7)</w:t>
      </w:r>
      <w:r xml:space="preserve">
        <w:t> </w:t>
      </w:r>
      <w:r xml:space="preserve">
        <w:t> </w:t>
      </w:r>
      <w:r>
        <w:t xml:space="preserve">the property is part of a rail facility owned by a rural rail transportation district operating under Chapter 172, Transportation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(b)(4)(B) does not prohibit the listing of a leasehold or other possessory interest in real property for purposes of taxation of the possessory interest by a taxing unit other than the municipality that owns the property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governing body of the taxing unit approves the exemption of the possessory interest in the manner provided by law for official action by the governing body;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financing by the municipality of the construction of the facility on the property was authorized by the voters of the municipality at an election held by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taxation of property for a tax year beginning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the taxation of a leasehold or other possessory interest in real property that is granted on or after the effective date of this Act.  The taxation of a leasehold or other possessory interest in real property that is granted before the effective date of this Act, including a leasehold or other possessory interest that is granted before that date and is renewed on or after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