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xml:space="preserve">
        <w:t> </w:t>
      </w:r>
      <w:r xml:space="preserve">
        <w:t> </w:t>
      </w:r>
      <w:r>
        <w:t xml:space="preserve">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xml:space="preserve">
        <w:t> </w:t>
      </w:r>
      <w:r xml:space="preserve">
        <w:t> </w:t>
      </w:r>
      <w:r>
        <w:t xml:space="preserve">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w:t>
      </w:r>
      <w:r>
        <w:rPr>
          <w:u w:val="single"/>
        </w:rPr>
        <w:t xml:space="preserve"> </w:t>
      </w:r>
      <w:r>
        <w:rPr>
          <w:u w:val="single"/>
        </w:rPr>
        <w:t xml:space="preserve"> </w:t>
      </w:r>
      <w:r>
        <w:rPr>
          <w:u w:val="single"/>
        </w:rPr>
        <w:t xml:space="preserve">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w:t>
      </w:r>
      <w:r xml:space="preserve">
        <w:t> </w:t>
      </w:r>
      <w:r xml:space="preserve">
        <w:t>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1202.001, Estates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guardianship of the person shall be settled and closed when the court finds that the ward's incapacity needs can be managed without the necessity for that continued guardianship by an alternative to guardianship or with supports and services as provided by Subchapter 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1202, Estates Code, is amended by adding Subchapter F to read as follows:</w:t>
      </w:r>
    </w:p>
    <w:p w:rsidR="003F3435" w:rsidRDefault="0032493E">
      <w:pPr>
        <w:spacing w:line="480" w:lineRule="auto"/>
        <w:jc w:val="center"/>
      </w:pPr>
      <w:r>
        <w:rPr>
          <w:u w:val="single"/>
        </w:rPr>
        <w:t xml:space="preserve">SUBCHAPTER F.  TERMINATION OF GUARDIANSHIP OF THE PERSON ON FINDING THAT THE WARD'S INCAPACITY NEEDS CAN BE MANAGED WITHOUT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1202.231.</w:t>
      </w:r>
      <w:r>
        <w:rPr>
          <w:u w:val="single"/>
        </w:rPr>
        <w:t xml:space="preserve"> </w:t>
      </w:r>
      <w:r>
        <w:rPr>
          <w:u w:val="single"/>
        </w:rPr>
        <w:t xml:space="preserve"> </w:t>
      </w:r>
      <w:r>
        <w:rPr>
          <w:u w:val="single"/>
        </w:rPr>
        <w:t xml:space="preserve">TERMINATION OF GUARDIANSHIP OF THE PERSON ON FINDING THAT WARD'S INCAPACITY NEEDS CAN BE MANAGED WITHOUT GUARDIANSHIP.  On application by the guardian of the person of a ward, a court investigator or guardian ad litem appointed by the court, or another person interested in the ward's welfare who has been granted permission by the court to intervene under Section 1055.003, or on the court's own motion, the court may order that the guardianship of the person of the ward terminate and be settled and closed if the court makes the findings required under Section 1202.232.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1202.232.</w:t>
      </w:r>
      <w:r>
        <w:rPr>
          <w:u w:val="single"/>
        </w:rPr>
        <w:t xml:space="preserve"> </w:t>
      </w:r>
      <w:r>
        <w:rPr>
          <w:u w:val="single"/>
        </w:rPr>
        <w:t xml:space="preserve"> </w:t>
      </w:r>
      <w:r>
        <w:rPr>
          <w:u w:val="single"/>
        </w:rPr>
        <w:t xml:space="preserve">FINDINGS REQUIRED.  Before ordering the termination of a guardianship of the person under Section 1202.231,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remains a partially or completely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nature and degree of the ward's incapacity and the ward's needs can be managed without the necessity of a continued guardianship of the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alternatives to guardianship that are available to the ward and that are determined to be feasible;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and services that are available to the ward and that are determined to be feasible;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the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ward's best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encourage the development or maintenance of maximum self-reliance and independence in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1202.233.</w:t>
      </w:r>
      <w:r>
        <w:rPr>
          <w:u w:val="single"/>
        </w:rPr>
        <w:t xml:space="preserve"> </w:t>
      </w:r>
      <w:r>
        <w:rPr>
          <w:u w:val="single"/>
        </w:rPr>
        <w:t xml:space="preserve"> </w:t>
      </w:r>
      <w:r>
        <w:rPr>
          <w:u w:val="single"/>
        </w:rPr>
        <w:t xml:space="preserve">GENERAL REQUIREMENTS FOR ORDER.  A court order that terminates a guardianship of the person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findings required under Section 1202.232;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guardian's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ward's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alternatives to guardianship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persons or entities providing or that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described by Subdivision (4)(A);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described by Subdivision (4)(B);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that the guardian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settle the guardianship in accordance with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all of the ward's remaining personal effects and assets, if any, to the persons or entities identified under Subdivision (5)(A) or (B), as applicable;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that the clerk shall revoke letters of guardianship of the person when the guardianship is finally settled and 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1202.234.</w:t>
      </w:r>
      <w:r>
        <w:rPr>
          <w:u w:val="single"/>
        </w:rPr>
        <w:t xml:space="preserve"> </w:t>
      </w:r>
      <w:r>
        <w:rPr>
          <w:u w:val="single"/>
        </w:rPr>
        <w:t xml:space="preserve"> </w:t>
      </w:r>
      <w:r>
        <w:rPr>
          <w:u w:val="single"/>
        </w:rPr>
        <w:t xml:space="preserve">NOTICE; APPOINTMENT OF ATTORNEY AD LITEM OR GUARDIAN AD LITEM.  A court may enter additional orders in the best interest of the ward,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notice to interested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appointing an attorney ad litem or guardian ad litem, or both, for the ward.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The office by rule shall establish a training course with at least 24 hours of training for persons facilitating mediations under Title 3, Estates Code, that may be provided by a mediation training provider approved by the office. </w:t>
      </w:r>
      <w:r>
        <w:rPr>
          <w:u w:val="single"/>
        </w:rPr>
        <w:t xml:space="preserve"> </w:t>
      </w:r>
      <w:r>
        <w:rPr>
          <w:u w:val="single"/>
        </w:rPr>
        <w:t xml:space="preserve">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