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1023.001,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proceeding for the appointment of a guardian for the person or estate, or both, of an incapacitated person shall be brought in the county in which the proposed ward resides or is located on the date the application is filed</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proceeding for the appointment of a guardian for the estate of an incapacitated person may be brought</w:t>
      </w:r>
      <w:r>
        <w:t xml:space="preserve"> [</w:t>
      </w:r>
      <w:r>
        <w:rPr>
          <w:strike/>
        </w:rPr>
        <w:t xml:space="preserve">or</w:t>
      </w:r>
      <w:r>
        <w:t xml:space="preserve">] in the county in which the principal estate of the proposed ward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xml:space="preserve">
        <w:t> </w:t>
      </w:r>
      <w:r xml:space="preserve">
        <w:t> </w:t>
      </w:r>
      <w:r>
        <w:t xml:space="preserve">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and</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ward resides in the county to which a guardianship is transferred under Subsection (a), the county shall accept the transfer of the guardianship.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xml:space="preserve">
        <w:t> </w:t>
      </w:r>
      <w:r xml:space="preserve">
        <w:t> </w:t>
      </w:r>
      <w:r>
        <w:t xml:space="preserve">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 judge who transfers a guardianship to another county shall certify in the transfer order that the guardianship is in compliance with the Texas Estates Code at the time of transfer. </w:t>
      </w:r>
      <w:r>
        <w:rPr>
          <w:u w:val="single"/>
        </w:rPr>
        <w:t xml:space="preserve"> </w:t>
      </w:r>
      <w:r>
        <w:rPr>
          <w:u w:val="single"/>
        </w:rPr>
        <w:t xml:space="preserve">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  A judge of the court to which the guardianship is transferred may not be held civilly liable for any injury, damage, or loss to the ward or the ward's estate that occurred prior to the transfer.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w:t>
      </w:r>
      <w:r>
        <w:t xml:space="preserve"> </w:t>
      </w:r>
      <w:r>
        <w:t xml:space="preserve">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w:t>
      </w:r>
      <w:r>
        <w:rPr>
          <w:strike/>
        </w:rPr>
        <w:t xml:space="preserve">CONTESTED</w:t>
      </w:r>
      <w:r>
        <w:t xml:space="preserve">] GUARDIANSHIP PROCEEDING.  (a)</w:t>
      </w:r>
      <w:r xml:space="preserve">
        <w:t> </w:t>
      </w:r>
      <w:r xml:space="preserve">
        <w:t> </w:t>
      </w:r>
      <w:r>
        <w:t xml:space="preserve">[</w:t>
      </w:r>
      <w:r>
        <w:rPr>
          <w:strike/>
        </w:rPr>
        <w:t xml:space="preserve">On the written agreement of the parties or on the court's own motion, the court may refer a contested guardianship proceeding to mediation.</w:t>
      </w:r>
      <w:r>
        <w:t xml:space="preserve">] </w:t>
      </w:r>
      <w:r>
        <w:rPr>
          <w:u w:val="single"/>
        </w:rPr>
        <w:t xml:space="preserve">A court upon its own motion may refer a matter to mediation at any time after the filing of an application for guardianship before a final hearing or jury trial.  The court shall refer the matter to mediation if such request is made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ward;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ad litem appointed for the proposed ward under Section 1054.001;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guardian ad litem appointed for the proposed ward under Section 1054.051;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family member of the proposed ward who has entered an appearance in the matter or that family member's attorney;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private professional guardian, friend of the proposed ward, or other person who filed the application for guardianship and who is not a family member of the proposed ward;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guardianship program that filed the application requesting to be appointed guardian.</w:t>
      </w:r>
    </w:p>
    <w:p w:rsidR="003F3435" w:rsidRDefault="0032493E">
      <w:pPr>
        <w:spacing w:line="480" w:lineRule="auto"/>
        <w:ind w:firstLine="720"/>
        <w:jc w:val="both"/>
      </w:pPr>
      <w:r>
        <w:rPr>
          <w:u w:val="single"/>
        </w:rPr>
        <w:t xml:space="preserve">A court may also require named individuals: ward, guardian, attorney ad litem, guardian ad litem, family, and others to participate in an annual mediation to assist the court in determining the need for continuing a guardianship, or use of lesser restrictive alternatives.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Capacity of the proposed ward shall not be an issue to be mediated and must still be proved to the Court in accordance with Texas Estates Code Chapter 1101. </w:t>
      </w:r>
      <w:r>
        <w:rPr>
          <w:u w:val="single"/>
        </w:rPr>
        <w:t xml:space="preserve"> </w:t>
      </w:r>
      <w:r>
        <w:rPr>
          <w:u w:val="single"/>
        </w:rPr>
        <w:t xml:space="preserve">Additionally, all parties shall evaluate available alternatives to guardianship and supports and services at the mediation in accordance with Texas Estates Code Sections 1101.010(a)(1)(D) through (a)(1)(E) and whether the supports and services and alternatives to guardianship would be feasible to avoid the need for a guardianship.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mediations under this Section shall be conducted by individuals who: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approved by the Court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completed a specialized 24 hour guardianship mediation training course conducted by an alternative dispute resolution system or an organization approved by the Office of Court Administration, in addition to addition to satisfying the requirements set forth in Chapter 154.052, Texas Civil Practice and Remedies Code.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cost of mediation shall be paid by the parties unless otherwise ordered by the Court.  If the parties are unable to pay the cost of mediation, the cost of mediation shall be borne by the ADR fund established under 152.004 or Section 152.006 of the Texas Civil Practice and Remedies Code.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 </w:t>
      </w:r>
      <w:r>
        <w:rPr>
          <w:u w:val="single"/>
        </w:rPr>
        <w:t xml:space="preserve">and that the parties agree the settlement agreement is in the best interest of the Ward.</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1055.153.</w:t>
      </w:r>
      <w:r>
        <w:rPr>
          <w:u w:val="single"/>
        </w:rPr>
        <w:t xml:space="preserve"> </w:t>
      </w:r>
      <w:r>
        <w:rPr>
          <w:u w:val="single"/>
        </w:rPr>
        <w:t xml:space="preserve"> </w:t>
      </w:r>
      <w:r>
        <w:rPr>
          <w:u w:val="single"/>
        </w:rPr>
        <w:t xml:space="preserve">MEDIATION PROJECT.  (a)</w:t>
      </w:r>
      <w:r>
        <w:rPr>
          <w:u w:val="single"/>
        </w:rPr>
        <w:t xml:space="preserve"> </w:t>
      </w:r>
      <w:r>
        <w:rPr>
          <w:u w:val="single"/>
        </w:rPr>
        <w:t xml:space="preserve"> </w:t>
      </w:r>
      <w:r>
        <w:rPr>
          <w:u w:val="single"/>
        </w:rPr>
        <w:t xml:space="preserve">For the purposes of this section, a probate court is considered a mental health court under Chapter 125,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probate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a public or private grant to fund a mediation project in connection with a guardianship proceeding;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a national or state mediation project to study the effects of mediation on promoting the least restrictive alternatives to guardianship for incapacitated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1101.001(b),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whether mediation was considered or encouraged to avoid the need for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521,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description of the proposed ward's property, including any compensation, pension, insurance, or allowance to which the proposed ward may be entitled;</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C, Chapter 155, Government Code, and has complied with the requirements of Subchapter G, Chapter 1104.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B, Chapter 1101, Estates Code, is amended to read as follows:</w:t>
      </w:r>
    </w:p>
    <w:p w:rsidR="003F3435" w:rsidRDefault="0032493E">
      <w:pPr>
        <w:spacing w:line="480" w:lineRule="auto"/>
        <w:jc w:val="center"/>
      </w:pPr>
      <w:r>
        <w:t xml:space="preserve">SUBCHAPTER B.  HEARING; JURY TRIAL</w:t>
      </w:r>
      <w:r>
        <w:rPr>
          <w:u w:val="single"/>
        </w:rPr>
        <w:t xml:space="preserve">; MEDIATION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1101.052, Estates Code, is amended to read as follows:</w:t>
      </w:r>
    </w:p>
    <w:p w:rsidR="003F3435" w:rsidRDefault="0032493E">
      <w:pPr>
        <w:spacing w:line="480" w:lineRule="auto"/>
        <w:ind w:firstLine="720"/>
        <w:jc w:val="both"/>
      </w:pPr>
      <w:r>
        <w:t xml:space="preserve">Sec.</w:t>
      </w:r>
      <w:r xml:space="preserve">
        <w:t> </w:t>
      </w:r>
      <w:r>
        <w:t xml:space="preserve">1101.052.</w:t>
      </w:r>
      <w:r xml:space="preserve">
        <w:t> </w:t>
      </w:r>
      <w:r xml:space="preserve">
        <w:t> </w:t>
      </w:r>
      <w:r>
        <w:t xml:space="preserve">JURY TRIAL </w:t>
      </w:r>
      <w:r>
        <w:rPr>
          <w:u w:val="single"/>
        </w:rPr>
        <w:t xml:space="preserve">AND MEDIATION</w:t>
      </w:r>
      <w:r>
        <w:t xml:space="preserve">.  A proposed ward is entitled to a jury trial on request.  </w:t>
      </w:r>
      <w:r>
        <w:rPr>
          <w:u w:val="single"/>
        </w:rPr>
        <w:t xml:space="preserve">At any time after the filing of an application for guardianship but before the date of the final hearing or jury trial for the appointment of a guardian, the court may refer a matter to mediation in accordance with Section 1055.151.</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1201.053,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reviewing a guardianship under Section 1201.052, a court may require the following persons to participate in a mediation in connection with the guardianship matter: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ward's guardian;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attorney ad litem appointed to represent the ward or the ward's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guardian ad litem appointed to represent the ward or the ward's interests;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family member of the ward;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person interested in the ward's welfare.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1202.001, Estates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guardianship of the person shall be settled and closed when the court finds that the ward's incapacity needs can be managed without the necessity for that continued guardianship by an alternative to guardianship or with supports and services as provided by Subchapter F.</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1202, Estates Code, is amended by adding Subchapter F to read as follows:</w:t>
      </w:r>
    </w:p>
    <w:p w:rsidR="003F3435" w:rsidRDefault="0032493E">
      <w:pPr>
        <w:spacing w:line="480" w:lineRule="auto"/>
        <w:jc w:val="center"/>
      </w:pPr>
      <w:r>
        <w:rPr>
          <w:u w:val="single"/>
        </w:rPr>
        <w:t xml:space="preserve">SUBCHAPTER F.  TERMINATION OF GUARDIANSHIP OF THE PERSON ON FINDING THAT INCAPACITY THE PERSON'S NEEDS CAN BE MANAGED WITHOUT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1202.231.</w:t>
      </w:r>
      <w:r>
        <w:rPr>
          <w:u w:val="single"/>
        </w:rPr>
        <w:t xml:space="preserve"> </w:t>
      </w:r>
      <w:r>
        <w:rPr>
          <w:u w:val="single"/>
        </w:rPr>
        <w:t xml:space="preserve"> </w:t>
      </w:r>
      <w:r>
        <w:rPr>
          <w:u w:val="single"/>
        </w:rPr>
        <w:t xml:space="preserve">TERMINATION OF GUARDIANSHIP OF THE PERSON ON FINDING THAT WARD'S INCAPACITY NEEDS CAN BE MANAGED WITHOUT GUARDIANSHIP.  On application by the guardian of the person of a ward or another person interested in the ward's welfare, or on the court's own motion and subject to Section 1202.232, the court may order that the guardianship of the person of the ward terminate and be settled and closed if the court makes the findings required under Section 1202.233.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1202.232.</w:t>
      </w:r>
      <w:r>
        <w:rPr>
          <w:u w:val="single"/>
        </w:rPr>
        <w:t xml:space="preserve"> </w:t>
      </w:r>
      <w:r>
        <w:rPr>
          <w:u w:val="single"/>
        </w:rPr>
        <w:t xml:space="preserve"> </w:t>
      </w:r>
      <w:r>
        <w:rPr>
          <w:u w:val="single"/>
        </w:rPr>
        <w:t xml:space="preserve">PHYSICIAN'S LETTER OR CERTIFICATE REQUIRED.  (a)</w:t>
      </w:r>
      <w:r>
        <w:rPr>
          <w:u w:val="single"/>
        </w:rPr>
        <w:t xml:space="preserve"> </w:t>
      </w:r>
      <w:r>
        <w:rPr>
          <w:u w:val="single"/>
        </w:rPr>
        <w:t xml:space="preserve"> </w:t>
      </w:r>
      <w:r>
        <w:rPr>
          <w:u w:val="single"/>
        </w:rPr>
        <w:t xml:space="preserve">The court may not grant an order terminating a guardianship of the person under Section 1202.231 unless the applicant presents to the court or the court secures a written letter or certificate from a physician licensed in this state that is dated: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120th day before the date the application was filed or the date the court enters the court's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time after the date the application was filed or the date the court's motion was entered but before the date of the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letter or certificate presented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nature and degree of incapacity of the ward, including the ward's medical history if reasonably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medical prognosis for the ward specifying the estimated severity of any incapacity;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how or in what manner the ward's ability to make or communicate responsible decisions concerning the ward is affected by the ward's physical or mental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whether any current medication affects the ward's demeanor or the ward's ability to participate fully in a court proceeding;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precise physical and mental conditions underlying a diagnosis of senility, if applicable;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describe feasible alternatives to guardianship available to the ward that would avoid the need for the continued appointment of a guardian of the person and state whether, in the physician's opinion, those alternatives to guardianship meet the following needs of the ward without the necessity for a continued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 of food, clothing, and shelter for the ward's own 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 for the ward's own physical health;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management of the ward's financial affairs;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describe feasible supports and services available to the ward that would avoid the need for the continued appointment of a guardian of the person for the ward and state whether, in the physician's opinion, the supports and services meet the following needs of the ward without the necessity for a continued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 of food, clothing, and shelter for the ward's own 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 for the ward's own physical health;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management of the ward's financial affairs;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include any other information required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it is necessary, the court may appoint the necessary physicians to examine the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1202.233.</w:t>
      </w:r>
      <w:r>
        <w:rPr>
          <w:u w:val="single"/>
        </w:rPr>
        <w:t xml:space="preserve"> </w:t>
      </w:r>
      <w:r>
        <w:rPr>
          <w:u w:val="single"/>
        </w:rPr>
        <w:t xml:space="preserve"> </w:t>
      </w:r>
      <w:r>
        <w:rPr>
          <w:u w:val="single"/>
        </w:rPr>
        <w:t xml:space="preserve">FINDINGS REQUIRED.  Before ordering the termination of a guardianship of the person under Section 1202.231, the court must find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 remains a partially or completely incapacitated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nature and degree of the ward's incapacity and the ward's needs can be managed without the necessity of a continued guardianship of the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alternatives to guardianship that are available to the ward and that are determined to be feasible;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and services that are available to the ward and that are determined to be feasible;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the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the ward's best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encourage the development or maintenance of maximum self-reliance and independence in the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1202.234.</w:t>
      </w:r>
      <w:r>
        <w:rPr>
          <w:u w:val="single"/>
        </w:rPr>
        <w:t xml:space="preserve"> </w:t>
      </w:r>
      <w:r>
        <w:rPr>
          <w:u w:val="single"/>
        </w:rPr>
        <w:t xml:space="preserve"> </w:t>
      </w:r>
      <w:r>
        <w:rPr>
          <w:u w:val="single"/>
        </w:rPr>
        <w:t xml:space="preserve">GENERAL REQUIREMENTS FOR ORDER.  A court order that terminates a guardianship of the person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findings required under Section 1202.233;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guardian's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ward's name;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alternatives to guardianship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persons or entities providing or that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described by Subdivision (4)(A);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alternatives to guardianship described by Subdivision (4)(B);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that the guardian is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immediately settle the guardianship in accordance with this 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 all of the ward's remaining personal effects and assets, if any, to the persons or entities identified under Subdivision (5)(A) or (B), as applicable;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that the clerk shall revoke letters of guardianship of the person when the guardianship is finally settled and closed.</w:t>
      </w:r>
    </w:p>
    <w:p w:rsidR="003F3435" w:rsidRDefault="0032493E">
      <w:pPr>
        <w:spacing w:line="480" w:lineRule="auto"/>
        <w:ind w:firstLine="720"/>
        <w:jc w:val="both"/>
      </w:pPr>
      <w:r>
        <w:t xml:space="preserve">Sec.</w:t>
      </w:r>
      <w:r xml:space="preserve">
        <w:t> </w:t>
      </w:r>
      <w:r>
        <w:t xml:space="preserve">1202.235.</w:t>
      </w:r>
      <w:r xml:space="preserve">
        <w:t> </w:t>
      </w:r>
      <w:r xml:space="preserve">
        <w:t> </w:t>
      </w:r>
      <w:r>
        <w:t xml:space="preserve">NOTICE; APPOINTMENT OF ATTORNEY AD LITEM OR GUARDIAN AD LITEM.  A court may, in its discretion, enter additional orders in the best interest of the ward, including but not limited to:</w:t>
      </w:r>
    </w:p>
    <w:p w:rsidR="003F3435" w:rsidRDefault="0032493E">
      <w:pPr>
        <w:spacing w:line="480" w:lineRule="auto"/>
        <w:ind w:firstLine="1440"/>
        <w:jc w:val="both"/>
      </w:pPr>
      <w:r>
        <w:t xml:space="preserve">(1)</w:t>
      </w:r>
      <w:r xml:space="preserve">
        <w:t> </w:t>
      </w:r>
      <w:r xml:space="preserve">
        <w:t> </w:t>
      </w:r>
      <w:r>
        <w:t xml:space="preserve">requiring notice to interested parties;;</w:t>
      </w:r>
    </w:p>
    <w:p w:rsidR="003F3435" w:rsidRDefault="0032493E">
      <w:pPr>
        <w:spacing w:line="480" w:lineRule="auto"/>
        <w:ind w:firstLine="1440"/>
        <w:jc w:val="both"/>
      </w:pPr>
      <w:r>
        <w:t xml:space="preserve">(2)</w:t>
      </w:r>
      <w:r xml:space="preserve">
        <w:t> </w:t>
      </w:r>
      <w:r xml:space="preserve">
        <w:t> </w:t>
      </w:r>
      <w:r>
        <w:t xml:space="preserve">appoint an attorney ad litem and/or guardian ad litem.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The Office of Court Administration by rule shall establish a 24 hour training course for use by approved dispute resolution training providers for those persons appointed to facilitate mediations under Title 3, Estates Code. </w:t>
      </w:r>
      <w:r>
        <w:rPr>
          <w:u w:val="single"/>
        </w:rPr>
        <w:t xml:space="preserve"> </w:t>
      </w:r>
      <w:r>
        <w:rPr>
          <w:u w:val="single"/>
        </w:rPr>
        <w:t xml:space="preserve">Providers of mediation training shall adhere to the approved curriculum.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Except as otherwise provided by this section, the changes in law made by this Act apply to a guardianship created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1023.001, Estates Code, as amended by this Act, applies only to a proceeding commenced on or after the effective date of this Act.  A proceeding commenced before the effective date of this Act is governed by the law applicable to the proceeding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1101.001(b), Estates Code, as amended by this Act, applies only to an application for the appointment of a guardian filed on or after the effective date of this Act.  An application for the appointment of a guardian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