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86R8985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1797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prohibition on certain discrimination in personal automobile insurance.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544.003, Insurance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Subsection (b) does not apply to a refusal, limitation, or charge for a personal automobile insurance policy that is based on an individual's gender or marital status.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insurance policy delivered, issued for delivery, or renewed on or after January 1, 2020. An insurance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