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86R15370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into the Texas Crime Information Center of certain information regarding conditions of bond imposed in criminal cases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17.49, Code of Criminal Procedure, is amended by adding Subsections (m), (n), (o), (p), (q), (r), (s), and (t)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soon as possible but not later than the next business day after the date the magistrate issues an order imposing a condition of bond or modifying or removing a condition imposed under this article, the magistrate shall send a copy of the order to the chief of police in the municipality where the victim of the offense resides, if the victim resides in a municipality, or to the sheriff of the county where the victim resides, if the victim does not reside in a municipality. The clerk of the court shall send a copy of the order to the victim at the victim's last known address as soon as possible but not later than the next business day after the date the order is issued.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magistrate or clerk of the court may delay sending a copy of the order under Subsection (m) only if the magistrate or clerk lacks information necessary to ensure service and enforcement.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an order described by Subsection (m) prohibits a defendant from going to or near a child care facility or school, the magistrate shall send a copy of the order to the applicable child care facility or school.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copy of the order and any related information may be sent under Subsection (m) or (o) electronically or in another manner that can be accessed by the recipient.</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the victim of the offense is not present when an order described by Subsection (m) is issued, the magistrate shall order a peace officer to make a good faith effort to provide notice of the order to the victim within 24 hours by calling the victim's last known phone number.</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 later than the third business day after the date of receipt of the copy of an order described by Subsection (m) by the applicable law enforcement agency, the law enforcement agency shall enter the following information into the statewide law enforcement information system maintained by the Department of Public Safety or shall modify or remove that information,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listed in Section 411.042(b)(6), Government Code, as that information relates to an order issued under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order releasing the defendant on bond was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that issued the order releasing the defendant on bond.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law enforcement agency shall enter the information described by Subsection (r) into the statewide law enforcement information system maintained by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same manner that the agency enters the information into the system for a protective order or magistrate's order of emergency protection;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whether a protective order or magistrate's order of emergency protection: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issued or has been entered into the system with respect to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protects the same person as a condition of bond in an order described by Subsection (m).</w:t>
      </w:r>
      <w:r>
        <w:t xml:space="preserve"> </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Department of Public Safety shall modify the department's statewide law enforcement information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 the system to accept and maintain detailed information regarding the requirements and status of a condition of bond imposed under this article, including information described by Subsection (r), so that a peace officer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easily and quickly search the system by one or more criteria related to the information described by Subsection (r), including the name of the defendant on whom the condition is imposed;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retrieve the information necessary to enforce the condition of bond or prevent a violation of the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person who accesses the system for the purpose of entering, modifying, or removing information that relates to a condition of bond imposed under this article may add or remove notes regarding the condition, the defendant on whom the condition is imposed, or the person protected by the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