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86R8572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1809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contact and medical information maintained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521.060(e),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The forms and procedures </w:t>
      </w:r>
      <w:r>
        <w:rPr>
          <w:u w:val="single"/>
        </w:rPr>
        <w:t xml:space="preserve">established and</w:t>
      </w:r>
      <w:r>
        <w:t xml:space="preserve"> maintained under Subsection (d)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comply with Subsection (c)</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holder of a driver's license or personal identification certificate or an authorized agent of the holder to add, amend, or delete information described by Subsection (d) by submitting an electronic form on the department's Internet website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2020, the Department of Public Safety of the State of Texas shall produce and make available on the department's Internet website an electronic form in accordance with Section 521.060(e), Transportation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