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Lucio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1811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7,</w:t>
      </w:r>
      <w:r xml:space="preserve">
        <w:t> </w:t>
      </w:r>
      <w:r>
        <w:t xml:space="preserve">2019; March</w:t>
      </w:r>
      <w:r xml:space="preserve">
        <w:t> </w:t>
      </w:r>
      <w:r>
        <w:t xml:space="preserve">18,</w:t>
      </w:r>
      <w:r xml:space="preserve">
        <w:t> </w:t>
      </w:r>
      <w:r>
        <w:t xml:space="preserve">2019, read first time and referred to Committee on Criminal Justice;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2019,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6, Nays</w:t>
      </w:r>
      <w:r xml:space="preserve">
        <w:t> </w:t>
      </w:r>
      <w:r>
        <w:t xml:space="preserve">0;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Buckingham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1811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Whitmire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continuing education training on civil process for constables.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1701.3545, Occupations Code, is amended by amending Subsections (a), (b), and (f)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public institution of higher education selected by the commission shall establish and offer a program of initial training and a program of continuing education for constables. </w:t>
      </w:r>
      <w:r>
        <w:t xml:space="preserve"> </w:t>
      </w:r>
      <w:r>
        <w:t xml:space="preserve">The curriculum for each program must relate to law enforcement management [</w:t>
      </w:r>
      <w:r>
        <w:rPr>
          <w:strike/>
        </w:rPr>
        <w:t xml:space="preserve">and civil process issues</w:t>
      </w:r>
      <w:r>
        <w:t xml:space="preserve">]. </w:t>
      </w:r>
      <w:r>
        <w:t xml:space="preserve"> </w:t>
      </w:r>
      <w:r>
        <w:t xml:space="preserve">The institution selected under this subsection shall develop the curriculum for the programs. </w:t>
      </w:r>
      <w:r>
        <w:t xml:space="preserve"> </w:t>
      </w:r>
      <w:r>
        <w:t xml:space="preserve">The curriculum must be approved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constable must complete at least 40 hours of continuing education provided by the selected institution under </w:t>
      </w:r>
      <w:r>
        <w:rPr>
          <w:u w:val="single"/>
        </w:rPr>
        <w:t xml:space="preserve">Subsection (a)</w:t>
      </w:r>
      <w:r>
        <w:t xml:space="preserve"> [</w:t>
      </w:r>
      <w:r>
        <w:rPr>
          <w:strike/>
        </w:rPr>
        <w:t xml:space="preserve">this section</w:t>
      </w:r>
      <w:r>
        <w:t xml:space="preserve">] each 48-month period. </w:t>
      </w:r>
      <w:r>
        <w:t xml:space="preserve"> </w:t>
      </w:r>
      <w:r>
        <w:t xml:space="preserve">The commission by rule shall establish a uniform 48-month continuing education training period.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the requirements of Subsection (b), during each 48-month continuing education training period each constable must complete at least 20 hours of continuing education instruction on civil process to be provided by a public institution of higher education selected by the commission under this subsection. </w:t>
      </w:r>
      <w:r>
        <w:rPr>
          <w:u w:val="single"/>
        </w:rPr>
        <w:t xml:space="preserve"> </w:t>
      </w:r>
      <w:r>
        <w:rPr>
          <w:u w:val="single"/>
        </w:rPr>
        <w:t xml:space="preserve">The commission shall establish minimum curriculum requirements for the continuing education course on civil process required by this subsection. </w:t>
      </w:r>
      <w:r>
        <w:rPr>
          <w:u w:val="single"/>
        </w:rPr>
        <w:t xml:space="preserve"> </w:t>
      </w:r>
      <w:r>
        <w:rPr>
          <w:u w:val="single"/>
        </w:rPr>
        <w:t xml:space="preserve">The commission may waive the continuing education requirements of this subsection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constable requests a waiver because of hardship;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determines that a hardship exists.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An individual who is subject to the continuing education requirements of </w:t>
      </w:r>
      <w:r>
        <w:rPr>
          <w:u w:val="single"/>
        </w:rPr>
        <w:t xml:space="preserve">Subsections</w:t>
      </w:r>
      <w:r>
        <w:t xml:space="preserve"> [</w:t>
      </w:r>
      <w:r>
        <w:rPr>
          <w:strike/>
        </w:rPr>
        <w:t xml:space="preserve">Subsection</w:t>
      </w:r>
      <w:r>
        <w:t xml:space="preserve">] (b) </w:t>
      </w:r>
      <w:r>
        <w:rPr>
          <w:u w:val="single"/>
        </w:rPr>
        <w:t xml:space="preserve">and (b-1)</w:t>
      </w:r>
      <w:r>
        <w:t xml:space="preserve"> is exempt from other continuing education requirements under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1811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