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86R12683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temporary support services for certain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29, Education Code, is amended by adding Section 29.092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29.092.</w:t>
      </w:r>
      <w:r>
        <w:rPr>
          <w:u w:val="single"/>
        </w:rPr>
        <w:t xml:space="preserve"> </w:t>
      </w:r>
      <w:r>
        <w:rPr>
          <w:u w:val="single"/>
        </w:rPr>
        <w:t xml:space="preserve"> </w:t>
      </w:r>
      <w:r>
        <w:rPr>
          <w:u w:val="single"/>
        </w:rPr>
        <w:t xml:space="preserve">TEMPORARY SUPPORT SERVICES PENDING DISABILITY DETERMINATION FOR CERTAIN STUDENTS.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"Disability determination" means the results of a full individual and initial evaluation of a student for purposes of special education services under Section 29.004.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 has the meaning assigned by Section 26.002.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establish procedures and criteria for the provision of temporary support services, including any service or accommodation available to a student receiving special education services under Subchapter A, to eligible students pending a disability determination.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is eligible for temporary support services if a parent, classroom teacher, or other educator of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 written request to the campus administrator for temporary support services pending a disability determination;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with the request supporting documentation,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private evaluation, an independent educational evaluation, or a speech and language assessment performed by a qualified professional;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medical prescription or order, provided by a qualified health care professional;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existing school documents explaining the potential need for temporary support services provided by an educator requesting temporary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request and supporting documentation submitted under this section is confidential and not subject to disclosure under Chapter 552,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receiving a request and appropriate supporting documentation under this section, the campus administrator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initiate a review of existing evaluation data with parents and any qualified professionals who have provided supporting documentation or are currently providing services or support to the student;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information to the student's parent about the process for requesting a full individual and initial evaluation for purposes of special education services under Section 29.004;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one week after receiving the request and supporting documentation, schedule temporary support services reflecting the recommendations, prescriptions, and orders in the supporting documents and provide the schedule to the student's parent, the student's classroom teachers, and appropriate district administrators and employees;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 later than two weeks after receiving the request and supporting documentation, review the student's behavior, the request, and the supporting documentation, and, if appropriate, develop a temporary plan that provides interventions for educators to address problematic behavior and provide the plan to the student, the student's parent, and the student's classroom teachers.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schedule of temporary services must continue without interruption until the requirements of Subsection (e) are completed, a full individual and initial evaluation under Section 29.004 has been conducted, and an admission, review, and dismissal committee has met and developed an individualized education plan for the student under Section 29.005.  If, after a period of time determined by the agency, the student's parent has not requested a full individual and initial evaluation, or the student is found to not have a disability or to not qualify for special education services, the temporary services may be discontinued.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provision of temporary services under this section does not affect the responsibility of other agencies to provide noneducational community-based support services as necessary to enable students with disabilities to receive a free appropriate public education in the least restrictive environment.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shall adopt rules to ensure that this section is administered in a manner that complies with federal law regarding confidentiality of student medical or educational information, including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Education Agency shall adopt procedures and criteria required by Section 29.092,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