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2493E">
      <w:pPr>
        <w:ind w:firstLine="720"/>
        <w:jc w:val="both"/>
      </w:pPr>
      <w:r>
        <w:t xml:space="preserve">(Deshotel)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and integrated employment initiative for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531.02448.</w:t>
      </w:r>
      <w:r>
        <w:rPr>
          <w:u w:val="single"/>
        </w:rPr>
        <w:t xml:space="preserve"> </w:t>
      </w:r>
      <w:r>
        <w:rPr>
          <w:u w:val="single"/>
        </w:rPr>
        <w:t xml:space="preserve"> </w:t>
      </w:r>
      <w:r>
        <w:rPr>
          <w:u w:val="single"/>
        </w:rPr>
        <w:t xml:space="preserve">COMPETITIVE AND INTEGRATED EMPLOYMENT INITIATIVE FOR CERTAIN MEDICAID RECIPIENTS.  (a)</w:t>
      </w:r>
      <w:r>
        <w:rPr>
          <w:u w:val="single"/>
        </w:rPr>
        <w:t xml:space="preserve"> </w:t>
      </w:r>
      <w:r>
        <w:rPr>
          <w:u w:val="single"/>
        </w:rPr>
        <w:t xml:space="preserve"> </w:t>
      </w:r>
      <w:r>
        <w:rPr>
          <w:u w:val="single"/>
        </w:rPr>
        <w:t xml:space="preserve">This section applies to an individual receiving services under any of the following waiver programs established under Section 1915(c), Social Security Act (42 U.S.C. Section 1396n(c)):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community living assistance and support services (CLASS) waiver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STAR+PLUS home and community-based services (HCBS)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develop a uniform process that complies with the policy adopted under Section 531.02447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goals of and competitive and integrated employment opportunities and related employment services available to an individual to whom this section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identified goals and available opportunities and services to direct the individual's plan of care at the time the plan is developed or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responsible for the development and renewal of the plan of care for an individual to whom this section applies shall use the uniform process the executive commissioner develops to assess the individual's goals, opportunities, and services described by Subsection (b) and incorporate those goals, opportunities, and services into the plan of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performance measures for the employment of individuals to whom this section applies and who are seeking competitive and integrated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strategies to increase the number of individuals who are receiving employment services from the Texas Workforce Commission or through the waiver program in which an individual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a reasonable number of individuals who indicate a desire to work to receive employment services and ensure those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received employment services during the state fiscal biennium ending August 31, 2021, or during the period beginning September 1, 2021, and ending December 31, 2021, from the Texas Workforce Commission or through the waiver program in which an individual is enrolled;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receiving employment services on December 31, 2021, from the Texas Workforce Commission or through the waiver program in which an individual is enrolled;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each individual who indicates a desire to work is referred to receive employment services from the Texas Workforce Commission or through the waiver program in which the individual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even-numbered year, the executive commissioner shall prepare and submit to the governor, lieutenant governor, speaker of the house of representatives, and legislature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to whom this section applies who are receiving employment services in accordance with rules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employment services described by Subdivision (1) are provided by the Texas Workforce Commission, through the waiver program in which an individual is enrolled, or both;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individuals to whom this section applies who have obtained competitive and integrated employment, categorized by waiver program and, if applicable, an individual's level of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Section 531.02448,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531.02448(e), Government Code, as added by this Act, the executive commissioner of the Health and Human Services Commission shall submit the first report required by that section not later than December 31,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