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1821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enforcement of the regulation of perpetual care cemeteries.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712.0034(a),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may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investigate an applicant before issuing a certificate of authority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from the applicant reasonable costs the commissioner incurs in the investigation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INVESTIGATIONS.  The commissioner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an investigation to administer and enforce this chapter;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recover reasonable costs incurred by the commissioner in the investigation from the subject of the investigation if the commissioner determines a violation occurred.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712.0443, Health and Safety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cease and desist order issued under this section names an officer, director, or employee of a perpetual care cemetery, the order may require the person named in the order to take corrective action to remedy the violation described by the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712, Health and Safety Code, is amended by adding Section 712.045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712.045.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REVOCATION OR SUSPENSION OF CERTIFICATE OF AUTHORITY.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by order may revoke or suspend a certificate of authority issued under this chapter if the commissioner determines through an investigation or other credible evidence that the certificate holder: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violated this chapter, a rule adopted or order issued under this chapter, or another law of this state relating to cemeteries;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misrepresented or concealed a material fact in the certificate application;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or attempted to obtain the certificate by misrepresentation, concealment, or fraud.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order issued under Subsection (a) must state: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reasonable certainty, the grounds for the order;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effective date of the order, which may not be earlier than the 16th day after the date the order is mailed.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provide an order described by Subsection (a) to the person named in the order by certified mail, return receipt requested, at the person's last known address.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may request a hearing on an order described by Subsection (a) not later than the 15th day after the date the order is mailed.  If the person requests a hearing, the order is stayed until the hearing is resolved.  A hearing is a contested case under Chapter 2001,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only to a violation that occurs or an investigation conducted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1821 passed the Senate on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1821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141,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1821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