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86R11527 SCL-F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Campbell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1821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enforcement of the regulation of perpetual care cemeteries.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712.0034(a),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commissioner may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investigate an applicant before issuing a certificate of authority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recover from the applicant reasonable costs the commissioner incurs in the investigation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712, Health and Safety Code, is amended by adding Section 712.0435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712.0435.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INVESTIGATIONS.  The commissioner may: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conduct an investigation to administer and enforce this chapter;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recover reasonable costs incurred by the commissioner in the investigation from the subject of the investigation if the commissioner determines a violation occurred.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712.0443, Health and Safety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cease and desist order issued under this section names an officer, director, or employee of a perpetual care cemetery, the order may require the person named in the order to take corrective action to remedy the violation described by the order.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712, Health and Safety Code, is amended by adding Section 712.045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712.045.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REVOCATION OR SUSPENSION OF CERTIFICATE OF AUTHORITY.  (a)  The commissioner by order may revoke or suspend a certificate of authority issued under this chapter if the commissioner determines through an investigation or other credible evidence that the certificate holder: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violated this chapter, a rule adopted or order issued under this chapter, or another law of this state relating to cemeteries;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misrepresented or concealed a material fact in the certificate application;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obtained or attempted to obtain the certificate by misrepresentation, concealment, or fraud.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order issued under Subsection (a) must state: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with reasonable certainty, the grounds for the order;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effective date of the order, which may not be earlier than the 16th day after the date the order is mailed.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shall provide an order described by Subsection (a) to the person named in the order by certified mail, return receipt requested, at the person's last known address.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may request a hearing on an order described by Subsection (a) not later than the 15th day after the date the order is mailed.  If the person requests a hearing, the order is stayed until the hearing is resolved.  A hearing is a contested case under Chapter 2001,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a violation that occurs or an investigation conducted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1821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