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86R14206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1839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veterans and their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EXPANDED ELIGIBILITY FOR MEDICAL ASSISTANCE.  (a)  Notwithstanding any other law, the commission shall provide medical assistance to all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are a veteran, as defined by Section 53.001, the spouse of a veteran, or the dependent child of a veteran;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apply for the assistance;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whom federal matching funds are available.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32.02472, Human Resources Code, as added by this Act, applies only to an initial determination or recertification of eligibility of a person for medical assistance under Chapter 32, Human Resources Code, made on or after the date the section is implemented, regardless of the date the person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32.02472, Human Resources Code, as added by this Act, including notifying appropriate federal agencies of that expanded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