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amendment of the dedicatory instruments of certain mixed-use real estate developments.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11, Property Code, is amended by adding Chapter 214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214. </w:t>
      </w:r>
      <w:r>
        <w:rPr>
          <w:u w:val="single"/>
        </w:rPr>
        <w:t xml:space="preserve"> </w:t>
      </w:r>
      <w:r>
        <w:rPr>
          <w:u w:val="single"/>
        </w:rPr>
        <w:t xml:space="preserve">AMENDMENT OF DEDICATORY INSTRUMENTS OF CERTAIN MIXED-USE REAL ESTATE DEVELOPMENTS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"Declaration"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instrument filed in the real property records of a county that includes restrictive covenants governing a real estate development.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"Dedicatory instrument" has the meaning assigned by Section 202.001.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"Mixed-use real estate development" means a real estate development that includes commercial properties, including hotel and retail properties, and that may include other real estate uses.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"Property owners' association" has the meaning assigned by Section 202.001.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only to a mixed-use real estate development: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located in a county with a population of 3.3 million or more;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property owners are subject to mandatory membership in 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dedicatory instrument regardless of the date on which the dedicatory instrument was created.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AMENDMENT OF DEDICATORY INSTRUMENT.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supersedes any conflicting requirement in a dedicatory instrument of a mixed-use real estate development.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any conflict with another provision of this title, this section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declaration of a mixed-use real estate development may be amended only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declaration contains a lower approval requirement than prescribed by Subsection (c), the approval requirement in the declaration controls. </w:t>
      </w:r>
      <w:r>
        <w:rPr>
          <w:u w:val="single"/>
        </w:rPr>
        <w:t xml:space="preserve"> </w:t>
      </w:r>
      <w:r>
        <w:rPr>
          <w:u w:val="single"/>
        </w:rPr>
        <w:t xml:space="preserve">If the declaration is silent as to voting rights for an amendment, the declaration may be amended by a vote of a majority of the total votes allocated to property owners entitled to vote on the amendment of the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bylaw of a mixed-use real estate development may not be amended to conflict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