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86R12102 MAW-D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1846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restraints on a pregnant woman in the custody of the Texas Department of Criminal Justice.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501.066(a),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 may not use restraints to control the movement of a pregnant woman in the custody of the department at any time </w:t>
      </w:r>
      <w:r>
        <w:rPr>
          <w:u w:val="single"/>
        </w:rPr>
        <w:t xml:space="preserve">after the woman's first trimester and until the woman has recovered</w:t>
      </w:r>
      <w:r>
        <w:t xml:space="preserve"> [</w:t>
      </w:r>
      <w:r>
        <w:rPr>
          <w:strike/>
        </w:rPr>
        <w:t xml:space="preserve">during which the woman is in labor or delivery or recovering</w:t>
      </w:r>
      <w:r>
        <w:t xml:space="preserve">] from delivery, unless the director or director's designee determines that the use of restraints is necessary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ensure the safety and security of the woman or her infant, department or medical personnel, or any member of the public;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prevent a substantial risk that the woman will attempt escape.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