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including one that employs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xml:space="preserve">
        <w:t> </w:t>
      </w:r>
      <w:r xml:space="preserve">
        <w:t> </w:t>
      </w:r>
      <w:r>
        <w:t xml:space="preserve">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the statement required by Section 4.055 is not filed before the expiration of the prescribed time, the filing instrument does not take effect. </w:t>
      </w:r>
      <w:r>
        <w:t xml:space="preserve">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w:t>
      </w:r>
      <w:r xml:space="preserve">
        <w:t> </w:t>
      </w:r>
      <w:r xml:space="preserve">
        <w:t> </w:t>
      </w:r>
      <w:r>
        <w:t xml:space="preserve">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 </w:t>
      </w:r>
      <w:r>
        <w:t xml:space="preserve">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w:t>
      </w:r>
      <w:r xml:space="preserve">
        <w:t> </w:t>
      </w:r>
      <w:r xml:space="preserve">
        <w:t> </w:t>
      </w:r>
      <w:r>
        <w:t xml:space="preserve">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