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1859</w:t>
      </w:r>
    </w:p>
    <w:p w:rsidR="003F3435" w:rsidRDefault="0032493E">
      <w:pPr>
        <w:ind w:firstLine="720"/>
        <w:jc w:val="both"/>
      </w:pPr>
      <w:r>
        <w:t xml:space="preserve">(Martinez Fischer)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including one that employs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xml:space="preserve">
        <w:t> </w:t>
      </w:r>
      <w:r xml:space="preserve">
        <w:t> </w:t>
      </w:r>
      <w:r>
        <w:t xml:space="preserve">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the statement required by Section 4.055 is not filed before the expiration of the prescribed time, the filing instrument does not take effect. </w:t>
      </w:r>
      <w:r>
        <w:t xml:space="preserve">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w:t>
      </w:r>
      <w:r xml:space="preserve">
        <w:t> </w:t>
      </w:r>
      <w:r xml:space="preserve">
        <w:t> </w:t>
      </w:r>
      <w:r>
        <w:t xml:space="preserve">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 </w:t>
      </w:r>
      <w:r>
        <w:t xml:space="preserve">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w:t>
      </w:r>
      <w:r xml:space="preserve">
        <w:t> </w:t>
      </w:r>
      <w:r xml:space="preserve">
        <w:t> </w:t>
      </w:r>
      <w:r>
        <w:t xml:space="preserve">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