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1861</w:t>
      </w:r>
    </w:p>
    <w:p w:rsidR="003F3435" w:rsidRDefault="0032493E">
      <w:pPr>
        <w:ind w:firstLine="720"/>
        <w:jc w:val="both"/>
      </w:pPr>
      <w:r>
        <w:t xml:space="preserve">(Flynn)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public facilities financed, owned, and operated by a public facility corporation.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expressly authorizes a sponsor to which Section 303.042(d) does not apply to create a corporation to finance, own, and operate a multifamily residential development that meets the requirements of Section 303.042(d-1).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303.042, Local Government Code, is amended by adding Subsections (d-1)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exemption under this section for a multifamily residential development that is owned by a corporation created under this chapter and that is not otherwise described by Subsection (d) applies only if the development meets the requirements of Subsection (d)(2) or accomplishes a governmental purpose of the sponsor.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Subsections (a) and (b), if a corporation created under this chapter owns a multifamily residential development described by Subsection (d-1), the sponsor of the corporation is considered the user of the public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