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public facilities financed, owned, and operated by a public facility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expressly authorizes a sponsor to which Section 303.042(d) does not apply to create a corporation to finance, own, and operate a multifamily residential development that meets the requirements of Section 303.042(d-1).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303.042, Local Government Code, is amended by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exemption under this section for a multifamily residential development that is owned by a corporation created under this chapter and that is not otherwise described by Subsection (d) applies only if the development meets the requirements of Subsection (d)(2) or accomplishes a governmental purpose of the sponsor.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Subsections (a) and (b), if a corporation created under this chapter owns a multifamily residential development described by Subsection (d-1), the sponsor of the corporation is considered the user of the public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