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Taylor</w:t>
      </w:r>
      <w:r xml:space="preserve">
        <w:tab wTab="150" tlc="none" cTlc="0"/>
      </w:r>
      <w:r>
        <w:t xml:space="preserve">S.B.</w:t>
      </w:r>
      <w:r xml:space="preserve">
        <w:t> </w:t>
      </w:r>
      <w:r>
        <w:t xml:space="preserve">No.</w:t>
      </w:r>
      <w:r xml:space="preserve">
        <w:t> </w:t>
      </w:r>
      <w:r>
        <w:t xml:space="preserve">1876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to appeal appraisal review board orders involving two or more contiguous tracts of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tracts of land that are contiguous to one another, a single arbitration deposit in the amount provided by Subsection (a)(2) is sufficient to satisfy the requirement of Subsection (a)(2). </w:t>
      </w:r>
      <w:r>
        <w:t xml:space="preserve"> </w:t>
      </w:r>
      <w:r>
        <w:rPr>
          <w:u w:val="single"/>
        </w:rPr>
        <w:t xml:space="preserve">For purposes of this subsection, tracts of land may not be considered to be noncontiguous on the basis of the classifications of the tracts of land, provided that the tracts of land constitute the same economic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w:t>
      </w:r>
      <w:r>
        <w:t xml:space="preserve"> </w:t>
      </w:r>
      <w:r>
        <w:t xml:space="preserve">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