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request for binding arbitration to appeal appraisal review board orders involving two or more contiguous tracts of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41A.03(a-1), Tax Code, is amended to read as follows:</w:t>
      </w:r>
    </w:p>
    <w:p w:rsidR="003F3435" w:rsidRDefault="0032493E">
      <w:pPr>
        <w:spacing w:line="480" w:lineRule="auto"/>
        <w:ind w:firstLine="720"/>
        <w:jc w:val="both"/>
      </w:pPr>
      <w:r>
        <w:t xml:space="preserve">(a-1)</w:t>
      </w:r>
      <w:r xml:space="preserve">
        <w:t> </w:t>
      </w:r>
      <w:r xml:space="preserve">
        <w:t> </w:t>
      </w:r>
      <w:r>
        <w:t xml:space="preserve">If a property owner requests binding arbitration under this chapter to appeal appraisal review board orders involving two or more </w:t>
      </w:r>
      <w:r>
        <w:rPr>
          <w:u w:val="single"/>
        </w:rPr>
        <w:t xml:space="preserve">contiguous</w:t>
      </w:r>
      <w:r>
        <w:t xml:space="preserve"> tracts of land that are </w:t>
      </w:r>
      <w:r>
        <w:rPr>
          <w:u w:val="single"/>
        </w:rPr>
        <w:t xml:space="preserve">owned by the property owner</w:t>
      </w:r>
      <w:r>
        <w:t xml:space="preserve"> [</w:t>
      </w:r>
      <w:r>
        <w:rPr>
          <w:strike/>
        </w:rPr>
        <w:t xml:space="preserve">contiguous to one another</w:t>
      </w:r>
      <w:r>
        <w:t xml:space="preserve">], a single arbitration deposit in the amount provided by Subsection (a)(2) is sufficient to satisfy the requirement of Subsection (a)(2).  </w:t>
      </w:r>
      <w:r>
        <w:rPr>
          <w:u w:val="single"/>
        </w:rPr>
        <w:t xml:space="preserve">For purposes of this subsection, "contiguous tracts of land"</w:t>
      </w:r>
      <w:r>
        <w:rPr>
          <w:u w:val="single"/>
        </w:rPr>
        <w:t xml:space="preserve"> </w:t>
      </w:r>
      <w:r>
        <w:rPr>
          <w:u w:val="single"/>
        </w:rPr>
        <w:t xml:space="preserve">means improved or unimproved tracts of land that are touching or that share a common boundary, as determined using appraisal district records or legal descriptions of the 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w:t>
      </w:r>
      <w:r>
        <w:t xml:space="preserve"> </w:t>
      </w:r>
      <w:r>
        <w:t xml:space="preserve">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1876 passed the Senate on May</w:t>
      </w:r>
      <w:r xml:space="preserve">
        <w:t> </w:t>
      </w:r>
      <w:r>
        <w:t xml:space="preserve">2,</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1876 passed the House, with amendment, on May</w:t>
      </w:r>
      <w:r xml:space="preserve">
        <w:t> </w:t>
      </w:r>
      <w:r>
        <w:t xml:space="preserve">17,</w:t>
      </w:r>
      <w:r xml:space="preserve">
        <w:t> </w:t>
      </w:r>
      <w:r>
        <w:t xml:space="preserve">2019, by the following vote:  Yeas</w:t>
      </w:r>
      <w:r xml:space="preserve">
        <w:t> </w:t>
      </w:r>
      <w:r>
        <w:t xml:space="preserve">147,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