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1882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notice regarding voting by physicians at certain entities to authorize the differentiation of physicians based on maintenance of certification.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241, Health and Safety Code, is amended by adding Section 241.1011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241.1011.</w:t>
      </w:r>
      <w:r>
        <w:rPr>
          <w:u w:val="single"/>
        </w:rPr>
        <w:t xml:space="preserve"> </w:t>
      </w:r>
      <w:r>
        <w:rPr>
          <w:u w:val="single"/>
        </w:rPr>
        <w:t xml:space="preserve"> </w:t>
      </w:r>
      <w:r>
        <w:rPr>
          <w:u w:val="single"/>
        </w:rPr>
        <w:t xml:space="preserve">HOSPITAL AUTHORITY TO DIFFERENTIATE BASED ON MAINTENANCE OF CERTIFICATION.  An entity to which Section 151.0515, Occupations Code, applies violates this chapter if the entity does not comply with the requirements of Section 151.0515(c-1), Occupations Code, regarding the provision of written notice regarding the ability to vote on the entity's differentiation between physicians based on a physician's maintenance of certification.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151.0515, Occupations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An entity described by Subsection (a) shall provide written notice to the voting physician members of the entity's organized medical staff of the process by which the members may vote on the entity's differentiation between physicians based on a physician's maintenance of certification. </w:t>
      </w:r>
      <w:r>
        <w:rPr>
          <w:u w:val="single"/>
        </w:rPr>
        <w:t xml:space="preserve"> </w:t>
      </w:r>
      <w:r>
        <w:rPr>
          <w:u w:val="single"/>
        </w:rPr>
        <w:t xml:space="preserve">The notice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 that any vote must comply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normal voting process of the entity and the entity's organized medical staff;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applicable law, regulation, or accreditation requirement;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provided: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least once each calendar year;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a form acceptable to the entity and the entity's organized medical staff for a similar notification, which may include in electronic form.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