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86R11203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 a vehicle, building, greenhouse, structure, laboratory, pasture, field, paddock, pond, impoundment, or premises where animals or crops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alter, duplicate, or obtain unauthorized possession of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deception or exerts unauthorized control over any records, data, materials, equipment, animals, or crops of an animal or crop facility for the purpose of depriving the owner or operator of the facility or the facility of records, data, materials, equipment, animals, or crops;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possesses or uses records, materials, data, equipment, crops, or animals in any way to copy or reproduce records or data of an animal or crop facility knowing or reasonably believing that the records, data, materials, equipment, animals, or crops have been obtained by theft or deception or without the authorization of the owner or operator of the animal or crop facility;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misdemeanor if the actor causes a loss to the animal or crop facility in an amount less than $250;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actor causes a loss to the animal or crop facility in an amount of $250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 </w:t>
      </w:r>
      <w:r>
        <w:rPr>
          <w:u w:val="single"/>
        </w:rPr>
        <w:t xml:space="preserve"> </w:t>
      </w:r>
      <w:r>
        <w:rPr>
          <w:u w:val="single"/>
        </w:rPr>
        <w:t xml:space="preserve">The court shall order a defendant convicted of an offense under Section 252.002 to pay restitution to the owner or operator of the animal or crop facility in an amount equal to,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twice the value of the animal or crop damaged, destroyed, or lost;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costs of replacing records, data, materials, equipment, animals, or crops that were damaged, destroyed, or lost or that are unable to be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 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