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86R3539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1893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trauma-informed care policy for school districts and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w:t>
      </w:r>
      <w:r>
        <w:t xml:space="preserve"> </w:t>
      </w:r>
      <w:r>
        <w:t xml:space="preserve">The purpose of the district improvement plan is to guide district and campus staff in the improvement of student performance for all student groups in order to attain state standards in respect to the achievement indicators adopted under Section 39.053(c). </w:t>
      </w:r>
      <w:r>
        <w:t xml:space="preserve"> </w:t>
      </w:r>
      <w:r>
        <w:t xml:space="preserve">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discipline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and</w:t>
      </w:r>
    </w:p>
    <w:p w:rsidR="003F3435" w:rsidRDefault="0032493E">
      <w:pPr>
        <w:spacing w:line="480" w:lineRule="auto"/>
        <w:ind w:firstLine="2160"/>
        <w:jc w:val="both"/>
      </w:pPr>
      <w:r>
        <w:t xml:space="preserve">(H)</w:t>
      </w:r>
      <w:r xml:space="preserve">
        <w:t> </w:t>
      </w:r>
      <w:r xml:space="preserve">
        <w:t> </w:t>
      </w:r>
      <w:r>
        <w:t xml:space="preserve">accelerated education;</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trauma-informed care policy under Section 38.036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38.036.</w:t>
      </w:r>
      <w:r>
        <w:rPr>
          <w:u w:val="single"/>
        </w:rPr>
        <w:t xml:space="preserve"> </w:t>
      </w:r>
      <w:r>
        <w:rPr>
          <w:u w:val="single"/>
        </w:rPr>
        <w:t xml:space="preserve"> </w:t>
      </w:r>
      <w:r>
        <w:rPr>
          <w:u w:val="single"/>
        </w:rPr>
        <w:t xml:space="preserve">TRAUMA-INFORMED CARE POLICY. </w:t>
      </w:r>
      <w:r>
        <w:rPr>
          <w:u w:val="single"/>
        </w:rPr>
        <w:t xml:space="preserve"> </w:t>
      </w:r>
      <w:r>
        <w:rPr>
          <w:u w:val="single"/>
        </w:rPr>
        <w:t xml:space="preserve">(a) </w:t>
      </w:r>
      <w:r>
        <w:rPr>
          <w:u w:val="single"/>
        </w:rPr>
        <w:t xml:space="preserve"> </w:t>
      </w:r>
      <w:r>
        <w:rPr>
          <w:u w:val="single"/>
        </w:rPr>
        <w:t xml:space="preserve">Each school district and open-enrollment charter school shall adopt and implement a policy requiring the integration of trauma-informed practices in each school environment. </w:t>
      </w:r>
      <w:r>
        <w:rPr>
          <w:u w:val="single"/>
        </w:rPr>
        <w:t xml:space="preserve"> </w:t>
      </w:r>
      <w:r>
        <w:rPr>
          <w:u w:val="single"/>
        </w:rPr>
        <w:t xml:space="preserve">A district must include the policy in the district improvement plan required under Section 11.252.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required by this section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resources developed by the agency, methods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staff and parent awareness </w:t>
      </w:r>
      <w:r>
        <w:rPr>
          <w:u w:val="single"/>
        </w:rPr>
        <w:t xml:space="preserve"> </w:t>
      </w:r>
      <w:r>
        <w:rPr>
          <w:u w:val="single"/>
        </w:rPr>
        <w:t xml:space="preserve">of trauma-informed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implementation of trauma-informed practices and care by district and campus staff;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counseling options for students affected by trauma or grief.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methods under Subsection (b)(1) for increasing awareness and implementation of trauma-informed care must include training as provided by this subsection. The training: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 a program selected from the list of recommended best practice-based programs and research-based practices established under Section 161.325,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part of any new employee orientation for all new school district and open-enrollment charter school educators;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annually to all school district or open-enrollment charter school employees;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included in staff development under Section 21.451.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training under Subsection (c), each school district and open-enrollment charter school shall maintain records that include the name of each district or charter school staff member who participated in the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 district or open-enrollment charter school determines that the district or charter school does not have sufficient resources to provide the training required under Subsection (c), the district or charter school may partner with a community mental health organization to provide training that meets the requirements of Subsection (c) at no cost to the district or charter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