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86R4325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Taylor</w:t>
      </w:r>
      <w:r xml:space="preserve">
        <w:tab wTab="150" tlc="none" cTlc="0"/>
      </w:r>
      <w:r>
        <w:t xml:space="preserve">S.B.</w:t>
      </w:r>
      <w:r xml:space="preserve">
        <w:t> </w:t>
      </w:r>
      <w:r>
        <w:t xml:space="preserve">No.</w:t>
      </w:r>
      <w:r xml:space="preserve">
        <w:t> </w:t>
      </w:r>
      <w:r>
        <w:t xml:space="preserve">1895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grants for school districts and campuses providing blended and individualized learning staff development activities.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J, Chapter 21, Education Code, is amended by adding Section 21.4542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21.4542.</w:t>
      </w:r>
      <w:r>
        <w:rPr>
          <w:u w:val="single"/>
        </w:rPr>
        <w:t xml:space="preserve"> </w:t>
      </w:r>
      <w:r>
        <w:rPr>
          <w:u w:val="single"/>
        </w:rPr>
        <w:t xml:space="preserve"> </w:t>
      </w:r>
      <w:r>
        <w:rPr>
          <w:u w:val="single"/>
        </w:rPr>
        <w:t xml:space="preserve">BLENDED AND INDIVIDUALIZED LEARNING STAFF DEVELOPMENT GRANTS.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"Blended learning" means learning in an environment in which classroom instruction is supplemented with lectures, exercises, and tutorials that students view online at their own pace, either in the classroom or at home.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"Individualized learning" is a mastery-based system of learning in which students advance in their lessons based on demonstrated proficiency instead of amount of time spent in the classroom.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funds appropriated for that purpose, the commissioner by rule shall establish a program under which participating school districts and campuses receive grants to provide staff development activities to prepare educators to implement blended learning and individualized learning initiatives.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rules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school district or campus to obtain advance approval from the commissioner for the specific staff development activity to be provided using grant funds;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permit grant funds to be used to pay incidental costs related to travel and lodging associated with an educator's participation in an approved staff development activity.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