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86R12252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alternate health benefit plan contact information for victims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ALTERNATE CONTACT INFORMATION FOR VICTIMS OF FAMILY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"Protective order" has the meaning assigned by Section 88.002,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APPLICATION FOR ALTERNATE CONTACT INFORMATION.  (a)  An individual who is a victim of family violence and who is a covered dependent in a health benefit plan may apply to the health benefit plan issuer to designate an alternate mailing address, telephone number, or other contact information necessary for billing or claims purposes for the individual and each other covered dependent named in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valid protective order issued in this state against the policyholder or certificate holder of the individual's health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signed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is a victim of family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disclosure of the alternate contact information provided in the application would endanger the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who receives a completed application under Subsection (a) shall grant the application and authorize the individual to have alternate contact information for the individual and each dependent named in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DISCLOSURE OF ALTERNATE CONTACT INFORMATION.  A health benefit plan issuer may not disclose the alternate contact information provided in an application described by Section 1222.0003 to the policyholder or certificate holder of the individual's health benefit plan unless the individual consents to the disclosure in writing.  The issuer shall ensure that any health care provider providing services under the plan does not disclose the information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1222.0005.</w:t>
      </w:r>
      <w:r>
        <w:rPr>
          <w:u w:val="single"/>
        </w:rPr>
        <w:t xml:space="preserve"> </w:t>
      </w:r>
      <w:r>
        <w:rPr>
          <w:u w:val="single"/>
        </w:rPr>
        <w:t xml:space="preserve"> </w:t>
      </w:r>
      <w:r>
        <w:rPr>
          <w:u w:val="single"/>
        </w:rPr>
        <w:t xml:space="preserve">RULES.  The commissioner, in consultation with the Health and Human Services Commission and the Department of Family and Protective Services, shall adopt rules to guide and enable health benefit plan issuers to protect the alternate contact information provided to issuers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