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1901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encouragement of intra-state commerce.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51, Local Government  Code, is amended by adding Section 51.004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51.004.</w:t>
      </w:r>
      <w:r>
        <w:rPr>
          <w:u w:val="single"/>
        </w:rPr>
        <w:t xml:space="preserve"> </w:t>
      </w:r>
      <w:r>
        <w:rPr>
          <w:u w:val="single"/>
        </w:rPr>
        <w:t xml:space="preserve"> </w:t>
      </w:r>
      <w:r>
        <w:rPr>
          <w:u w:val="single"/>
        </w:rPr>
        <w:t xml:space="preserve">REGULATION OF UNIQUE LOCAL CONCERNS AUTHORIZED; OTHER REGULATION OF STATE-WIDE COMMERCE PROHIBITED.</w:t>
      </w:r>
    </w:p>
    <w:p w:rsidR="003F3435" w:rsidRDefault="0032493E">
      <w:pPr>
        <w:spacing w:line="480" w:lineRule="auto"/>
        <w:ind w:firstLine="720"/>
        <w:jc w:val="both"/>
      </w:pPr>
      <w:r>
        <w:rPr>
          <w:u w:val="single"/>
        </w:rPr>
        <w:t xml:space="preserve">(a)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activity" means the purchase or sale of goods or services of any kind or quantity, conducted by a person who engages in such activity in more than one municipality in this state;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"uniquely local concern" means a particularized concern unique to the physical conditions in the municipality;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"regulation of local land use" means taking action consistent with Chapters 211-214 and includes adoption and enforcement of building construction standards and permitting, barring, or limiting the use of designated property for one or more designated types or categories of commercial activity, but shall not include any restriction, condition, or regulation of the goods, services, transactions, operations, purchaser-seller interactions, employment practices, finances, advertising, marketing, or any other conduct or practices by a person engaging in a commercial activity;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"citizens' physical safety" means protection of citizens from physical bodily injury inflicted by physical contact with another person, animal, or physical condition on real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authorized by Subsection (c), the governing body of a municipality may not adopt or enforce an ordinance, rule, or police regulation that imposes a restriction, condition, or regulation on commercial activity.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governing body may adopt and enforce an ordinance, rule, or police regulation: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essential to directly regulating a uniquely local concern that the governing body determines cannot be of similar concern in another municipality because of the uniqueness of the local concern;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essential to necessary regulation of local land use;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essential to protecting citizens' physical safety;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that it is expressly authorized to adopt by a statute of this state.</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governing body acting under Section (c)(1) must contemporaneously adopt a detailed written statement describing the uniquely local concern and the basis for its determination that the concern cannot be of similar concern in another municipality.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ordinance, rule, or police regulation prohibited by subsection (b) impairs the free flow of commerce across the state and is inconsistent with the general law of this state.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commercial activity that is subject to regulation by this state or the United States cannot present any uniquely local concern.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state statute that states it does not preempt municipal regulatory authority or does not affect municipal regulatory authority shall not be construed under Subsection (c)(4) to expressly authorize any ordinance, rule, or police regulation.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