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precious metals held in a depository in this state from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PRECIOUS METALS HELD IN DEPOSITORY. (a) Precious metals are exempt from taxation if they are held in a commercial depository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"precious metals"</w:t>
      </w:r>
      <w:r>
        <w:rPr>
          <w:u w:val="single"/>
        </w:rPr>
        <w:t xml:space="preserve"> </w:t>
      </w:r>
      <w:r>
        <w:rPr>
          <w:u w:val="single"/>
        </w:rPr>
        <w:t xml:space="preserve">has the meaning assigned by Section 2116.001,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this section, a "commercial depository"</w:t>
      </w:r>
      <w:r>
        <w:rPr>
          <w:u w:val="single"/>
        </w:rPr>
        <w:t xml:space="preserve"> </w:t>
      </w:r>
      <w:r>
        <w:rPr>
          <w:u w:val="single"/>
        </w:rPr>
        <w:t xml:space="preserve">is a depository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primarily engaged in the business of providing</w:t>
      </w:r>
    </w:p>
    <w:p w:rsidR="003F3435" w:rsidRDefault="0032493E">
      <w:pPr>
        <w:spacing w:line="480" w:lineRule="auto"/>
        <w:ind w:firstLine="720"/>
        <w:jc w:val="both"/>
      </w:pPr>
      <w:r>
        <w:rPr>
          <w:u w:val="single"/>
        </w:rPr>
        <w:t xml:space="preserve">precious metals storage services to the general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sufficient insurance to cover the precious metals deposits held within the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 Tax Code, is amended by amending Subsection (a)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11.14, 11.145, 11.146, 11.15, 11.16, 11.161, [</w:t>
      </w:r>
      <w:r>
        <w:rPr>
          <w:strike/>
        </w:rPr>
        <w:t xml:space="preserve">or</w:t>
      </w:r>
      <w:r>
        <w:t xml:space="preserve">] 11.25</w:t>
      </w:r>
      <w:r>
        <w:rPr>
          <w:u w:val="single"/>
        </w:rPr>
        <w:t xml:space="preserve">, or 11.35</w:t>
      </w:r>
      <w:r>
        <w:t xml:space="preserve"> </w:t>
      </w:r>
      <w:r>
        <w:t xml:space="preserve">of this code, must apply for the exemption. </w:t>
      </w:r>
      <w:r>
        <w:t xml:space="preserve"> </w:t>
      </w:r>
      <w:r>
        <w:t xml:space="preserve">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86th Legislature, Regular Session, 2019, authorizing the legislature by general law to exempt from ad valorem taxation precious metals held in a depository in this state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