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86R12701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motor vehicle dealers apply for the registration of and title for certain vehicles sold by the dealer.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501.0234(d),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seller who applies for the registration </w:t>
      </w:r>
      <w:r>
        <w:rPr>
          <w:u w:val="single"/>
        </w:rPr>
        <w:t xml:space="preserve">of</w:t>
      </w:r>
      <w:r>
        <w:t xml:space="preserve"> or a title for a motor vehicle under Subsection (a)(1) shall apply in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county </w:t>
      </w:r>
      <w:r>
        <w:rPr>
          <w:u w:val="single"/>
        </w:rPr>
        <w:t xml:space="preserve">in which the motor vehicle is purchased;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described by Section 501.023(a) that is agreed upon by the seller and purchaser</w:t>
      </w:r>
      <w:r>
        <w:t xml:space="preserve"> [</w:t>
      </w:r>
      <w:r>
        <w:rPr>
          <w:strike/>
        </w:rPr>
        <w:t xml:space="preserve">as directed by the purchaser from the counties set forth in Section 501.023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501.0234(e), Transportation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a law made by this Act apply to an application for the registration of or a title for a motor vehicle purchased on or after the effective date of this Act.  An application for the registration of or a title for a motor vehicle purchased before the effective date of this Act is governed by the law in effect when the vehicle was purchased,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