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86R1942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1921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cardiac assessments of high school participants in extracurricular athletic activities sponsored or sanctioned by the University Interscholastic League.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33.096.</w:t>
      </w:r>
      <w:r>
        <w:rPr>
          <w:u w:val="single"/>
        </w:rPr>
        <w:t xml:space="preserve"> </w:t>
      </w:r>
      <w:r>
        <w:rPr>
          <w:u w:val="single"/>
        </w:rPr>
        <w:t xml:space="preserve"> </w:t>
      </w:r>
      <w:r>
        <w:rPr>
          <w:u w:val="single"/>
        </w:rPr>
        <w:t xml:space="preserve">CARDIAC ASSESSMENTS OF HIGH SCHOOL PARTICIPANTS IN EXTRACURRICULAR ATHLETIC ACTIVITIES.  (a)  A school district must require a district student who is required under University Interscholastic League rule or policy to receive a physical examination before being allowed to participate in an athletic activity sponsored or sanctioned by the University Interscholastic League to also have administered to the student an electrocardiogram or echocardiogram before being allowed to participate in the activity, including a practice for the activity,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time before the student's first year of participation at the ninth grade level or above;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11th grade is not the student's first year of participation, another time before the student's subsequent year of participation at the 11th grade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create a cause of action or liability against an appropriately licensed or certified health care professional, a school district, or a district officer or employee for the injury or death of a student participating in or practicing for an athletic activity sponsored or sanctioned by the University Interscholastic League based on or in connection with the administration or evaluation of or reliance on an electrocardiogram or on an echocardiogram.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facilitate the administration of electrocardiograms or echocardiograms to students, 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district's expense, partner with a nonprofit entity to provide electrocardiograms or echocardiograms;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 to pay for the costs of administering electrocardiograms or echocardiograms to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as necessary to administer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adopted under Subsection (d)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under which a school district may demonstrate a hardship that allows the district to delay administering required electrocardiograms or echocardiograms to students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that provide for granting a waiver from administration of an electrocardiogram or echocardiogram to a student if, for any reason, the parent or person standing in parental relation to the student submits a written request for the waiver.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