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retail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w:t>
      </w:r>
      <w:r>
        <w:rPr>
          <w:u w:val="single"/>
        </w:rPr>
        <w:t xml:space="preserve"> </w:t>
      </w:r>
      <w:r>
        <w:rPr>
          <w:u w:val="single"/>
        </w:rPr>
        <w:t xml:space="preserve"> </w:t>
      </w:r>
      <w:r>
        <w:rPr>
          <w:u w:val="single"/>
        </w:rPr>
        <w:t xml:space="preserve">A transmission and distribution utility, with the approval of the commission, may contract with the owner or operator of an electric energy storage facility to provide electric energy from an electric energy storage facility to ensure reliable service to retail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retail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owner or operator of an electric energy storage facility subject to a contract under Subsection (a) may sell electric energy or ancillary services through use of the facility only to the extent that the owner or operator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owner or operator of an electric energy storage facility subject to a contract under Subsection (a) may not discharge the facility for reliability purposes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an owner or operator of an electric energy storage facility to reimburse a transportation and distribution utility for the cost of administrative penalties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an owner or operator of an electric energy storage facility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earn a reasonable return on the present value of future payments required under the contract.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40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