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2019S0267-1  02/25/19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Watson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1944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permanent health fund for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63.002(c),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amount available for distribution from the fund may be appropriated only for programs that benefit medical research, health education, or treatment programs at the following health-related institutions of higher education: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University of Texas Health Science Center at San Antonio;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University of Texas M. D. Anderson Cancer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University of Texas Southwestern Medical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University of Texas Medical Branch at Galveston;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University of Texas Health Science Center at Houston;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University of Texas Health Science Center at Tyler;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University of Texas Health Science Center--South Texas and its component institutions, if established under Subchapter N, Chapter 74;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Texas A&amp;M University Health Science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University of North Texas Health Science Center at Fort Worth;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Texas Tech University Health Sciences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Texas Tech University Health Sciences Center at El Paso;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rPr>
          <w:u w:val="single"/>
        </w:rPr>
        <w:t xml:space="preserve">Dell Medical School at The University of Texas at Austin;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 xml:space="preserve">
        <w:t> </w:t>
      </w:r>
      <w:r>
        <w:t xml:space="preserve">Baylor College of Medicine, if a contract between Baylor College of Medicine and the Texas Higher Education Coordinating Board is in effect under Section 61.092.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