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86R7942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court's authority to temporarily restrict the ability of a proposed patient for court-ordered mental health services to possess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18.191, Code of Criminal Procedure,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574, Health and Safety Code, and request the disposition of the case.</w:t>
      </w:r>
      <w:r xml:space="preserve">
        <w:t> </w:t>
      </w:r>
      <w:r xml:space="preserve">
        <w:t> </w:t>
      </w:r>
      <w:r>
        <w:t xml:space="preserve">Not later than the 30th day after the date of this request, the clerk of the court shall advise the requesting agency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whether the person taken into custody was released under Section 573.023, Health and Safety Code, or was ordered to receive </w:t>
      </w:r>
      <w:r>
        <w:rPr>
          <w:u w:val="single"/>
        </w:rPr>
        <w:t xml:space="preserve">outpatient mental health services or</w:t>
      </w:r>
      <w:r>
        <w:t xml:space="preserve"> inpatient mental health services under Section 574.034 or 574.035, Health and Safety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person is subject to a temporary firearm restriction ordered under Section 574.0335, Health and Safety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not</w:t>
      </w:r>
      <w:r>
        <w:t xml:space="preserve"> [</w:t>
      </w:r>
      <w:r>
        <w:rPr>
          <w:strike/>
        </w:rPr>
        <w:t xml:space="preserve">Not</w:t>
      </w:r>
      <w:r>
        <w:t xml:space="preserve">] later than the 30th day after the date the clerk of the court informs a law enforcement agency holding a firearm subject to disposition under this article that the person taken into custody was released under Section 573.023,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clerk of court informs a law enforcement agency holding a firearm subject to disposition under this article that the person is subject to a temporary firearm restriction ordered under Section 574.0335, Health and Safety Code, the law enforcement agency shall hold the firearm until the expiration of the 90-day period of the restriction.  Not later than 30 days before the expiration of the 90-day period of the restriction, the law enforcement agency shall conduct the verification required under Subsection (d)(1) and provide the notice described by Subsection (d)(2). </w:t>
      </w:r>
      <w:r>
        <w:rPr>
          <w:u w:val="single"/>
        </w:rPr>
        <w:t xml:space="preserve"> </w:t>
      </w:r>
      <w:r>
        <w:rPr>
          <w:u w:val="single"/>
        </w:rPr>
        <w:t xml:space="preserve">If the law enforcement agency verifies that the person lawfully may possess a firearm, the firearm may be returned to the person on expiration of the 90-day period of the restriction.  A law enforcement agency may return a firearm to a person who lawfully may possess a firearm before the expiration of the 90-day period if the person provides a copy of an order showing the court granted the person's appeal of the restriction, in accordance with Section 574.0335(b),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574, Health and Safety Code, is amended by adding Section 574.0335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574.0335.</w:t>
      </w:r>
      <w:r>
        <w:rPr>
          <w:u w:val="single"/>
        </w:rPr>
        <w:t xml:space="preserve"> </w:t>
      </w:r>
      <w:r>
        <w:rPr>
          <w:u w:val="single"/>
        </w:rPr>
        <w:t xml:space="preserve"> </w:t>
      </w:r>
      <w:r>
        <w:rPr>
          <w:u w:val="single"/>
        </w:rPr>
        <w:t xml:space="preserve">ORDER IMPOSING TEMPORARY FIREARM RESTRICTION.  (a) </w:t>
      </w:r>
      <w:r>
        <w:rPr>
          <w:u w:val="single"/>
        </w:rPr>
        <w:t xml:space="preserve"> </w:t>
      </w:r>
      <w:r>
        <w:rPr>
          <w:u w:val="single"/>
        </w:rPr>
        <w:t xml:space="preserve">The judge may issue an order prohibiting the owning, possessing, or purchasing of a firearm for a period of 90 days by a proposed patient who is ordered to receive court-ordered outpatient mental health services under Section 574.034 or 574.035, or who does not otherwise meet the applicable criteria for court-ordered mental health services and is released under Section 574.033, if the court finds by clear and convincing evidence that the proposed patient's possession of a firearm would present a substantial risk of serious harm to the proposed patient's self or to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appeal a temporary firearm restriction imposed on the person under this section not sooner than 30 days after the date the order is imposed.  The court shall hold a hearing to consider the appeal and shall remove the restriction unless the court finds by clear and convincing evidence that the person's possession of a firearm continues to pose a substantial risk of serious harm to the person's self or to others.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denies a person's appeal, the temporary firearm restriction shall continue, and the person may not make a subsequent appeal of the restriction for the remainder of the 90-day period for which the restriction is imposed.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Article 18.191, Code of Criminal Procedure, applies only to the disposition of a firearm seized by a law enforcement agency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 574.0335, Health and Safety Code, applies to a hearing held under that chapter on or after the effective date of this Act, regardless of whether conduct of a proposed patient that is a subject of the hearing occurred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