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prescribing and dispensing of controlled substances by veterinarians.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481.0766,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make the information reported under Subsection (a) available to the State Board of Veterinary Medical Examiners for the purpose of routine inspections and investigations.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require a veterinarian to complete two hours of continuing education related to opioid abuse and controlled substance diversion, inventory, and security every two years to renew a license to practice veterinary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801.307(a-1), Occupations Code, as added by this Act, applies only to the renewal of a license to practice veterinary medicine on or after September 1, 2020.  The renewal of a license before that date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1947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1947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8,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