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1947</w:t>
      </w:r>
    </w:p>
    <w:p w:rsidR="003F3435" w:rsidRDefault="0032493E">
      <w:pPr>
        <w:ind w:firstLine="720"/>
        <w:jc w:val="both"/>
      </w:pPr>
      <w:r>
        <w:t xml:space="preserve">(Sheffield, et al.)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the prescribing and dispensing of controlled substances by veterinarians.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481.0766, Health and Safety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make the information reported under Subsection (a) available to the State Board of Veterinary Medical Examiners for the purpose of routine inspections and investigations.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801.307, Occupations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require a veterinarian to complete two hours of continuing education related to opioid abuse and controlled substance diversion, inventory, and security every two years to renew a license to practice veterinary medicine.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801.307(a-1), Occupations Code, as added by this Act, applies only to the renewal of a license to practice veterinary medicine on or after September 1, 2020.  The renewal of a license before that date is governed by the law in effect immediately before the effective date of this Act, and the former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