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86R13162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1948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caseworker visitation standards for certain child protective services caseworkers.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264, Family Code, is amended by adding Section 264.105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264.105.</w:t>
      </w:r>
      <w:r>
        <w:rPr>
          <w:u w:val="single"/>
        </w:rPr>
        <w:t xml:space="preserve"> </w:t>
      </w:r>
      <w:r>
        <w:rPr>
          <w:u w:val="single"/>
        </w:rPr>
        <w:t xml:space="preserve"> </w:t>
      </w:r>
      <w:r>
        <w:rPr>
          <w:u w:val="single"/>
        </w:rPr>
        <w:t xml:space="preserve">IN-PERSON VISITS WITH FOSTER CHILDREN.  (a) </w:t>
      </w:r>
      <w:r>
        <w:rPr>
          <w:u w:val="single"/>
        </w:rPr>
        <w:t xml:space="preserve"> </w:t>
      </w:r>
      <w:r>
        <w:rPr>
          <w:u w:val="single"/>
        </w:rPr>
        <w:t xml:space="preserve">The department shall conduct an in-person meeting at least once each month with each child in the conservatorship of the department and document the results of the meeting in the child's case file.  Each monthly meeting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complete assessment of the child's safety, including an assessment of the child's placement;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is verbal, an interview with the child conducted individually, separately, and privately from the caregiver and other children;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discussion of the forms of discipline used in the placement;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review of the child's medical, mental health, dental, and educational progress and needs.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update the department's automated case tracking and information management system to allow caseworkers to record each meeting with a child as described by Subsection (a)(2).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department fails to meet with a child during a month, the department shall document in the child's case file the reason for the failure.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monthly meeting required by Subsection (a) is not conducted by the primary caseworker assigned to a child protective services case, the caseworker shall communicate with the child at least once each month by telephone, video conference, or another developmentally appropriate form of communication.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department shall ensure that each child protective services caseworker receives training regarding the visitation requirements of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the 30th day following the last day of each calendar quarter, the department shall submit to the lieutenant governor, speaker of the house of representatives, and chairs of the standing committees of the senate and house of representatives having primary jurisdiction over child protection issues a report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caseworker visits with children in the department's conservatorship that caseworkers were required to make each month of the calendar quarter;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number of caseworker visits with children in the department's conservatorship that caseworkers actually made each month of the calendar quarter, including face-to-face visits and visits conducted by other means as authorized under Subsection (d);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visits caseworkers made each month as a percentage of the number of visits caseworkers were required to make during that month.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