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management for cyber attacks against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w:t>
      </w:r>
      <w:r>
        <w:rPr>
          <w:strike/>
        </w:rPr>
        <w:t xml:space="preserve">or</w:t>
      </w:r>
      <w:r>
        <w:t xml:space="preserve">] hostile military or paramilitary action</w:t>
      </w:r>
      <w:r>
        <w:rPr>
          <w:u w:val="single"/>
        </w:rPr>
        <w:t xml:space="preserve">, or cyber attacks</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and</w:t>
      </w:r>
    </w:p>
    <w:p w:rsidR="003F3435" w:rsidRDefault="0032493E">
      <w:pPr>
        <w:spacing w:line="480" w:lineRule="auto"/>
        <w:ind w:firstLine="1440"/>
        <w:jc w:val="both"/>
      </w:pPr>
      <w:r>
        <w:t xml:space="preserve">(9)</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"Cyber attack" 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(1-a)</w:t>
      </w:r>
      <w:r>
        <w:t xml:space="preserve"> "Disaster"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w:t>
      </w:r>
      <w:r>
        <w:rPr>
          <w:u w:val="single"/>
        </w:rPr>
        <w:t xml:space="preserve">cyber attack,</w:t>
      </w:r>
      <w:r>
        <w:t xml:space="preserve"> extreme heat,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418.0195(b),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w:t>
      </w:r>
      <w:r>
        <w:rPr>
          <w:u w:val="single"/>
        </w:rPr>
        <w:t xml:space="preserve">cyber attack or other</w:t>
      </w:r>
      <w:r>
        <w:t xml:space="preserve"> substantial external threat to the computer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