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financially impaired fraternal benefit societies.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approve or disapprove an application under this section not later than the 60th day after the date the department receives the application. If the commissioner does not approve or disapprove the application before the expiration of the 60-day period, the application is considered approved. 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 ratio of total adjusted capital to authorized control level risk-based capital that triggers an authorized control level as determined by the commissioner in accordance with 28 T.A.C. Section 7.402 and the commissioner reasonably believes the impaired society's financial condition will not be promptly remedied without intervention by the department, the commissioner may order the impaired society to promptly seek and negotiate an agreement to transfer in accordance with this section all benefit members, benefit certificates, assets, and liabilities of the impaired society to another fraternal benefit society. 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impaired society,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impaired society, notwithstanding Section 885.063 or any provision of the impaired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commissioner approves a transfer under Subsection (a), the impaired society transferring the certificates shall notify the certificate holders of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impaired society under the agreement, notwithstanding any provision of the receiving society's laws to the contrary.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