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86R12844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used to provide low-income or moderate-income housing.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11.1825(s),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Unless otherwise provided by the governing body of a taxing unit any part of which is located in a county with a population of at least 1.8 million under Subsection (x), for property described by Subsection (f)(1), the amount of the exemption under this section from taxation is </w:t>
      </w:r>
      <w:r>
        <w:rPr>
          <w:u w:val="single"/>
        </w:rPr>
        <w:t xml:space="preserve">100</w:t>
      </w:r>
      <w:r>
        <w:t xml:space="preserve"> [</w:t>
      </w:r>
      <w:r>
        <w:rPr>
          <w:strike/>
        </w:rPr>
        <w:t xml:space="preserve">50</w:t>
      </w:r>
      <w:r>
        <w:t xml:space="preserve">] percent of the appraised value of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