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probate and guardianship matters and proceedings and other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a civil action</w:t>
      </w:r>
      <w:r>
        <w:rPr>
          <w:u w:val="single"/>
        </w:rPr>
        <w:t xml:space="preserve">, including a probate or guardianship proceeding,</w:t>
      </w:r>
      <w:r>
        <w:t xml:space="preserve"> </w:t>
      </w:r>
      <w:r>
        <w:t xml:space="preserve">filed in a district court, county court, [</w:t>
      </w:r>
      <w:r>
        <w:rPr>
          <w:strike/>
        </w:rPr>
        <w:t xml:space="preserve">or</w:t>
      </w:r>
      <w:r>
        <w:t xml:space="preserve">] statutory county court, </w:t>
      </w:r>
      <w:r>
        <w:rPr>
          <w:u w:val="single"/>
        </w:rPr>
        <w:t xml:space="preserve">or statutory probate court,</w:t>
      </w:r>
      <w:r>
        <w:t xml:space="preserve">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w:t>
      </w:r>
      <w:r>
        <w:t xml:space="preserve"> </w:t>
      </w:r>
      <w:r>
        <w:t xml:space="preserve">If probate proceedings involving the same estate are commenced in more than one county and the court making a determination of venue as provided by Section 33.053 determines that venue is proper in another county, the court clerk shall make and retain a copy of the entire file in the case and transmit the original file </w:t>
      </w:r>
      <w:r>
        <w:rPr>
          <w:u w:val="single"/>
        </w:rPr>
        <w:t xml:space="preserve">in electronic or paper form</w:t>
      </w:r>
      <w:r>
        <w:t xml:space="preserve"> to the court in the county in which venue is proper. </w:t>
      </w:r>
      <w:r>
        <w:t xml:space="preserve"> </w:t>
      </w:r>
      <w:r>
        <w:t xml:space="preserve">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to the proper court in that county </w:t>
      </w:r>
      <w:r>
        <w:rPr>
          <w:u w:val="singl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the original file in the case; and</w:t>
      </w:r>
    </w:p>
    <w:p w:rsidR="003F3435" w:rsidRDefault="0032493E">
      <w:pPr>
        <w:spacing w:line="480" w:lineRule="auto"/>
        <w:ind w:firstLine="1440"/>
        <w:jc w:val="both"/>
      </w:pPr>
      <w:r>
        <w:t xml:space="preserve">(2)</w:t>
      </w:r>
      <w:r xml:space="preserve">
        <w:t> </w:t>
      </w:r>
      <w:r xml:space="preserve">
        <w:t> </w:t>
      </w:r>
      <w:r>
        <w:t xml:space="preserve">certified copies of all entries that have been made in the judge's probate docket in the proceeding.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33.103,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transmittal under Subsection (b) of the original file and the certified copy of the index may be in electronic or paper form, except that an original will filed in the probate proceeding, if any, must be delivered to the court to which the proceeding is transferred.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202.054, Estates Code, is amended to read as follows:</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PERSONAL SERVICE OF CITATION MAY BE REQUIRED.  </w:t>
      </w:r>
      <w:r>
        <w:rPr>
          <w:u w:val="single"/>
        </w:rPr>
        <w:t xml:space="preserve">(a)</w:t>
      </w:r>
      <w:r xml:space="preserve">
        <w:t> </w:t>
      </w:r>
      <w:r xml:space="preserve">
        <w:t> </w:t>
      </w:r>
      <w:r>
        <w:t xml:space="preserve">The court may require that service of citation in a proceeding to declare heirship be made by personal service on some or all of those named as distributees in the application filed under Section 202.005.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distributee to be cited under Subsection (a) is absent from or is not a resident of this state, any disinterested person competent to make an oath that the citation was served may serve the citation.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351.351, Estates Code, is amended to read as follows:</w:t>
      </w:r>
    </w:p>
    <w:p w:rsidR="003F3435" w:rsidRDefault="0032493E">
      <w:pPr>
        <w:spacing w:line="480" w:lineRule="auto"/>
        <w:ind w:firstLine="720"/>
        <w:jc w:val="both"/>
      </w:pPr>
      <w:r>
        <w:t xml:space="preserve">Sec.</w:t>
      </w:r>
      <w:r xml:space="preserve">
        <w:t> </w:t>
      </w:r>
      <w:r>
        <w:t xml:space="preserve">351.351.</w:t>
      </w:r>
      <w:r xml:space="preserve">
        <w:t> </w:t>
      </w:r>
      <w:r xml:space="preserve">
        <w:t> </w:t>
      </w:r>
      <w:r>
        <w:t xml:space="preserve">APPLICABILITY.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appointment of an independent executor or administrator under Section 401.002 or 401.003(a); or</w:t>
      </w:r>
    </w:p>
    <w:p w:rsidR="003F3435" w:rsidRDefault="0032493E">
      <w:pPr>
        <w:spacing w:line="480" w:lineRule="auto"/>
        <w:ind w:firstLine="1440"/>
        <w:jc w:val="both"/>
      </w:pPr>
      <w:r>
        <w:t xml:space="preserve">(2)</w:t>
      </w:r>
      <w:r xml:space="preserve">
        <w:t> </w:t>
      </w:r>
      <w:r xml:space="preserve">
        <w:t> </w:t>
      </w:r>
      <w:r>
        <w:t xml:space="preserve">the appointment of a successor independent </w:t>
      </w:r>
      <w:r>
        <w:rPr>
          <w:u w:val="single"/>
        </w:rPr>
        <w:t xml:space="preserve">administrator</w:t>
      </w:r>
      <w:r>
        <w:t xml:space="preserve"> [</w:t>
      </w:r>
      <w:r>
        <w:rPr>
          <w:strike/>
        </w:rPr>
        <w:t xml:space="preserve">executor</w:t>
      </w:r>
      <w:r>
        <w:t xml:space="preserve">] under Section 404.005.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404.0036(b),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an independent executor is removed by the court under Section 404.003 or 404.0035, the court may, on application, appoint a successor independent </w:t>
      </w:r>
      <w:r>
        <w:rPr>
          <w:u w:val="single"/>
        </w:rPr>
        <w:t xml:space="preserve">administrator</w:t>
      </w:r>
      <w:r>
        <w:t xml:space="preserve"> [</w:t>
      </w:r>
      <w:r>
        <w:rPr>
          <w:strike/>
        </w:rPr>
        <w:t xml:space="preserve">executor</w:t>
      </w:r>
      <w:r>
        <w:t xml:space="preserve">] as provided by Section 404.005.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404.005, Estates Code, is amended to read as follows:</w:t>
      </w:r>
    </w:p>
    <w:p w:rsidR="003F3435" w:rsidRDefault="0032493E">
      <w:pPr>
        <w:spacing w:line="480" w:lineRule="auto"/>
        <w:ind w:firstLine="720"/>
        <w:jc w:val="both"/>
      </w:pPr>
      <w:r>
        <w:t xml:space="preserve">Sec.</w:t>
      </w:r>
      <w:r xml:space="preserve">
        <w:t> </w:t>
      </w:r>
      <w:r>
        <w:t xml:space="preserve">404.005.</w:t>
      </w:r>
      <w:r xml:space="preserve">
        <w:t> </w:t>
      </w:r>
      <w:r xml:space="preserve">
        <w:t> </w:t>
      </w:r>
      <w:r>
        <w:t xml:space="preserve">COURT-APPOINTED SUCCESSOR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404.005(a), (b), (c), (h), and (i),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will of a person who dies testate names an independent executor who, having qualified, fails for any reason to continue to serve, or is removed for cause by the court, and the will does not name a successor independent executor or if each successor executor named in the will fails for any reason to qualify as executor or indicates by affidavit filed with the application for an order continuing independent administration the successor executor's inability or unwillingness to serve as successor independent executor, all of the distributees of the decedent as of the filing of the application for an order continuing independent administration may apply to the probate court for the appointment of a qualified person, firm, or corporation to serve as successor independent </w:t>
      </w:r>
      <w:r>
        <w:rPr>
          <w:u w:val="single"/>
        </w:rPr>
        <w:t xml:space="preserve">administrator</w:t>
      </w:r>
      <w:r>
        <w:t xml:space="preserve"> [</w:t>
      </w:r>
      <w:r>
        <w:rPr>
          <w:strike/>
        </w:rPr>
        <w:t xml:space="preserve">executor</w:t>
      </w:r>
      <w:r>
        <w:t xml:space="preserve">]. </w:t>
      </w:r>
      <w:r>
        <w:t xml:space="preserve"> </w:t>
      </w:r>
      <w:r>
        <w:t xml:space="preserve">If the probate court finds that continued administration of the estate is necessary, the court shall enter an order continuing independent administration and appointing the person, firm, or corporation designated in the application as successor independent </w:t>
      </w:r>
      <w:r>
        <w:rPr>
          <w:u w:val="single"/>
        </w:rPr>
        <w:t xml:space="preserve">administrator</w:t>
      </w:r>
      <w:r>
        <w:t xml:space="preserve"> [</w:t>
      </w:r>
      <w:r>
        <w:rPr>
          <w:strike/>
        </w:rPr>
        <w:t xml:space="preserve">executor</w:t>
      </w:r>
      <w:r>
        <w:t xml:space="preserve">], unless the probate court finds that it would not be in the best interest of the estate to do so. </w:t>
      </w:r>
      <w:r>
        <w:t xml:space="preserve"> </w:t>
      </w:r>
      <w:r>
        <w:t xml:space="preserve">The successor independent </w:t>
      </w:r>
      <w:r>
        <w:rPr>
          <w:u w:val="single"/>
        </w:rPr>
        <w:t xml:space="preserve">administrator</w:t>
      </w:r>
      <w:r>
        <w:t xml:space="preserve"> [</w:t>
      </w:r>
      <w:r>
        <w:rPr>
          <w:strike/>
        </w:rPr>
        <w:t xml:space="preserve">executor</w:t>
      </w:r>
      <w:r>
        <w:t xml:space="preserve">] shall serve with all of the powers and privileges granted to the successor's predecessor independent executor.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a distributee described in this section is an incapacitated person, the guardian of the person of the distributee may sign the application on behalf of the distributee. </w:t>
      </w:r>
      <w:r>
        <w:t xml:space="preserve"> </w:t>
      </w:r>
      <w:r>
        <w:t xml:space="preserve">If the probate court finds that either the continuing of independent administration or the appointment of the person, firm, or corporation designated in the application as successor independent </w:t>
      </w:r>
      <w:r>
        <w:rPr>
          <w:u w:val="single"/>
        </w:rPr>
        <w:t xml:space="preserve">administrator</w:t>
      </w:r>
      <w:r>
        <w:t xml:space="preserve"> [</w:t>
      </w:r>
      <w:r>
        <w:rPr>
          <w:strike/>
        </w:rPr>
        <w:t xml:space="preserve">executor</w:t>
      </w:r>
      <w:r>
        <w:t xml:space="preserve">] would not be in the best interest of the incapacitated person, then, notwithstanding Subsection (a), the court may not enter an order continuing independent administration of the estate. </w:t>
      </w:r>
      <w:r>
        <w:t xml:space="preserve"> </w:t>
      </w:r>
      <w:r>
        <w:t xml:space="preserve">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 </w:t>
      </w:r>
      <w:r>
        <w:t xml:space="preserve"> </w:t>
      </w:r>
      <w:r>
        <w:t xml:space="preserve">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trust is created in the decedent's will or if the decedent's will devises property to a trustee as described by Section 254.001, the person or class of persons entitled to receive property outright from the trust on the decedent's death and those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 </w:t>
      </w:r>
      <w:r>
        <w:t xml:space="preserve"> </w:t>
      </w:r>
      <w:r>
        <w:t xml:space="preserve">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(h)</w:t>
      </w:r>
      <w:r xml:space="preserve">
        <w:t> </w:t>
      </w:r>
      <w:r xml:space="preserve">
        <w:t> </w:t>
      </w:r>
      <w:r>
        <w:t xml:space="preserve">If a successor independent </w:t>
      </w:r>
      <w:r>
        <w:rPr>
          <w:u w:val="single"/>
        </w:rPr>
        <w:t xml:space="preserve">administrator</w:t>
      </w:r>
      <w:r>
        <w:t xml:space="preserve"> [</w:t>
      </w:r>
      <w:r>
        <w:rPr>
          <w:strike/>
        </w:rPr>
        <w:t xml:space="preserve">executor</w:t>
      </w:r>
      <w:r>
        <w:t xml:space="preserve">] is appointed under this section, then, unless the probate court shall waive bond on application for waiver, the successor independent </w:t>
      </w:r>
      <w:r>
        <w:rPr>
          <w:u w:val="single"/>
        </w:rPr>
        <w:t xml:space="preserve">administrator</w:t>
      </w:r>
      <w:r>
        <w:t xml:space="preserve"> [</w:t>
      </w:r>
      <w:r>
        <w:rPr>
          <w:strike/>
        </w:rPr>
        <w:t xml:space="preserve">executor</w:t>
      </w:r>
      <w:r>
        <w:t xml:space="preserve">] shall be required to enter into bond payable to and to be approved by the judge and the judge's successors in a sum that is found by the judge to be adequate under all circumstances, or a bond with one surety in an amount that is found by the judge to be adequate under all circumstances, if the surety is an authorized corporate surety.</w:t>
      </w:r>
    </w:p>
    <w:p w:rsidR="003F3435" w:rsidRDefault="0032493E">
      <w:pPr>
        <w:spacing w:line="480" w:lineRule="auto"/>
        <w:ind w:firstLine="720"/>
        <w:jc w:val="both"/>
      </w:pPr>
      <w:r>
        <w:t xml:space="preserve">(i)</w:t>
      </w:r>
      <w:r xml:space="preserve">
        <w:t> </w:t>
      </w:r>
      <w:r xml:space="preserve">
        <w:t> </w:t>
      </w:r>
      <w:r>
        <w:t xml:space="preserve">Absent proof of fraud or collusion on the part of a judge, the judge may not be held civilly liable for the commission of misdeeds or the omission of any required act of any person, firm, or corporation designated as a successor independent </w:t>
      </w:r>
      <w:r>
        <w:rPr>
          <w:u w:val="single"/>
        </w:rPr>
        <w:t xml:space="preserve">administrator</w:t>
      </w:r>
      <w:r>
        <w:t xml:space="preserve"> [</w:t>
      </w:r>
      <w:r>
        <w:rPr>
          <w:strike/>
        </w:rPr>
        <w:t xml:space="preserve">executor</w:t>
      </w:r>
      <w:r>
        <w:t xml:space="preserve">] under this section. </w:t>
      </w:r>
      <w:r>
        <w:t xml:space="preserve"> </w:t>
      </w:r>
      <w:r>
        <w:t xml:space="preserve">Section 351.354 does not apply to an appointment of a successor independent </w:t>
      </w:r>
      <w:r>
        <w:rPr>
          <w:u w:val="single"/>
        </w:rPr>
        <w:t xml:space="preserve">administrator</w:t>
      </w:r>
      <w:r>
        <w:t xml:space="preserve"> [</w:t>
      </w:r>
      <w:r>
        <w:rPr>
          <w:strike/>
        </w:rPr>
        <w:t xml:space="preserve">executor</w:t>
      </w:r>
      <w:r>
        <w:t xml:space="preserv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452.006,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appointee shall file with the court proof of service of the notice required under Subsection (a) in the manner provided by Section 51.103(b)(3).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503.002, Estates Code, is amended to read as follows:</w:t>
      </w:r>
    </w:p>
    <w:p w:rsidR="003F3435" w:rsidRDefault="0032493E">
      <w:pPr>
        <w:spacing w:line="480" w:lineRule="auto"/>
        <w:ind w:firstLine="720"/>
        <w:jc w:val="both"/>
      </w:pPr>
      <w:r>
        <w:t xml:space="preserve">Sec.</w:t>
      </w:r>
      <w:r xml:space="preserve">
        <w:t> </w:t>
      </w:r>
      <w:r>
        <w:t xml:space="preserve">503.002.</w:t>
      </w:r>
      <w:r xml:space="preserve">
        <w:t> </w:t>
      </w:r>
      <w:r xml:space="preserve">
        <w:t> </w:t>
      </w:r>
      <w:r>
        <w:rPr>
          <w:u w:val="single"/>
        </w:rPr>
        <w:t xml:space="preserve">RECORDING OF CERTAIN FOREIGN TESTAMENTARY INSTRUMENTS IN LANGUAGE OTHER THAN ENGLISH</w:t>
      </w:r>
      <w:r>
        <w:t xml:space="preserve"> [</w:t>
      </w:r>
      <w:r>
        <w:rPr>
          <w:strike/>
        </w:rPr>
        <w:t xml:space="preserve">ORIGINAL SIGNATURES NOT REQUIRED</w:t>
      </w:r>
      <w:r>
        <w:t xml:space="preserve">]. </w:t>
      </w:r>
      <w:r>
        <w:t xml:space="preserve"> </w:t>
      </w:r>
      <w:r>
        <w:rPr>
          <w:u w:val="single"/>
        </w:rPr>
        <w:t xml:space="preserve">(a)</w:t>
      </w:r>
      <w:r>
        <w:rPr>
          <w:u w:val="single"/>
        </w:rPr>
        <w:t xml:space="preserve"> </w:t>
      </w:r>
      <w:r>
        <w:rPr>
          <w:u w:val="single"/>
        </w:rPr>
        <w:t xml:space="preserve"> </w:t>
      </w:r>
      <w:r>
        <w:rPr>
          <w:u w:val="single"/>
        </w:rPr>
        <w:t xml:space="preserve">An authenticated copy of a will or other testamentary instrument described by Section 503.001(a), along with a copy of the judgment, order, or decree by which the instrument was admitted to probate that has the attestation and certificate required by Section 501.002(c),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accuracy of the translation is sworn to before an officer authorized to administer oaths</w:t>
      </w:r>
      <w:r>
        <w:t xml:space="preserve"> [</w:t>
      </w:r>
      <w:r>
        <w:rPr>
          <w:strike/>
        </w:rPr>
        <w:t xml:space="preserve">Notwithstanding Section 501.002(c), the original signatures required by that section may not be required for a recordation in the deed records in accordance with Section 503.001 or for a purpose described by Section 503.051 or 503.052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existence of the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title or titles conferred by the instrument.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t xml:space="preserve"> </w:t>
      </w:r>
      <w:r>
        <w:t xml:space="preserve">When an order of transfer is made under Section 1023.005, the clerk shall record any unrecorded papers of the guardianship required to be recorded. </w:t>
      </w:r>
      <w:r>
        <w:t xml:space="preserve"> </w:t>
      </w:r>
      <w:r>
        <w:t xml:space="preserve">On payment of the clerk's fee, the clerk shall transmit </w:t>
      </w:r>
      <w:r>
        <w:rPr>
          <w:u w:val="single"/>
        </w:rPr>
        <w:t xml:space="preserve">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the case file of the guardianship proceedings; and</w:t>
      </w:r>
    </w:p>
    <w:p w:rsidR="003F3435" w:rsidRDefault="0032493E">
      <w:pPr>
        <w:spacing w:line="480" w:lineRule="auto"/>
        <w:ind w:firstLine="1440"/>
        <w:jc w:val="both"/>
      </w:pPr>
      <w:r>
        <w:t xml:space="preserve">(2)</w:t>
      </w:r>
      <w:r xml:space="preserve">
        <w:t> </w:t>
      </w:r>
      <w:r xml:space="preserve">
        <w:t> </w:t>
      </w:r>
      <w:r>
        <w:t xml:space="preserve">a certified copy of the index of the guardianship records.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w:t>
      </w:r>
      <w:r>
        <w:t xml:space="preserve">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w:t>
      </w:r>
      <w:r>
        <w:rPr>
          <w:u w:val="single"/>
        </w:rPr>
        <w:t xml:space="preserve">in electronic or paper form</w:t>
      </w:r>
      <w:r>
        <w:t xml:space="preserve">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clerk's official seal and reporting the filing of the case file and a certified copy of the index is filed </w:t>
      </w:r>
      <w:r>
        <w:rPr>
          <w:u w:val="singl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Chapter 1054, Estates Code, is amended to read as follows:</w:t>
      </w:r>
    </w:p>
    <w:p w:rsidR="003F3435" w:rsidRDefault="0032493E">
      <w:pPr>
        <w:spacing w:line="480" w:lineRule="auto"/>
        <w:jc w:val="center"/>
      </w:pPr>
      <w:r>
        <w:t xml:space="preserve">CHAPTER 1054.  COURT OFFICERS</w:t>
      </w:r>
      <w:r>
        <w:rPr>
          <w:u w:val="single"/>
        </w:rPr>
        <w:t xml:space="preserve">,</w:t>
      </w:r>
      <w:r>
        <w:t xml:space="preserve"> [</w:t>
      </w:r>
      <w:r>
        <w:rPr>
          <w:strike/>
        </w:rPr>
        <w:t xml:space="preserve">AND</w:t>
      </w:r>
      <w:r>
        <w:t xml:space="preserve">] COURT-APPOINTED PERSONS</w:t>
      </w:r>
      <w:r>
        <w:rPr>
          <w:u w:val="single"/>
        </w:rPr>
        <w:t xml:space="preserve">, AND ATTORNEYS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1054, Estates Code, is amended to read as follows:</w:t>
      </w:r>
    </w:p>
    <w:p w:rsidR="003F3435" w:rsidRDefault="0032493E">
      <w:pPr>
        <w:spacing w:line="480" w:lineRule="auto"/>
        <w:jc w:val="center"/>
      </w:pPr>
      <w:r>
        <w:t xml:space="preserve">SUBCHAPTER E.  QUALIFICATIONS TO SERVE AS [</w:t>
      </w:r>
      <w:r>
        <w:rPr>
          <w:strike/>
        </w:rPr>
        <w:t xml:space="preserve">COURT-APPOINTED</w:t>
      </w:r>
      <w:r>
        <w:t xml:space="preserve">]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1054.201, Estates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an</w:t>
      </w:r>
      <w:r>
        <w:t xml:space="preserve"> [</w:t>
      </w:r>
      <w:r>
        <w:rPr>
          <w:strike/>
        </w:rPr>
        <w:t xml:space="preserve">An</w:t>
      </w:r>
      <w:r>
        <w:t xml:space="preserve">] attorney </w:t>
      </w:r>
      <w:r>
        <w:rPr>
          <w:u w:val="single"/>
        </w:rPr>
        <w:t xml:space="preserve">representing any person's interests</w:t>
      </w:r>
      <w:r>
        <w:t xml:space="preserve"> [</w:t>
      </w:r>
      <w:r>
        <w:rPr>
          <w:strike/>
        </w:rPr>
        <w:t xml:space="preserve">for an applicant for guardianship and a court-appointed attorney</w:t>
      </w:r>
      <w:r>
        <w:t xml:space="preserve">]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w:t>
      </w:r>
      <w:r>
        <w:rPr>
          <w:u w:val="single"/>
        </w:rPr>
        <w:t xml:space="preserve">, former name, if any</w:t>
      </w:r>
      <w:r>
        <w:t xml:space="preserv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w:t>
      </w:r>
      <w:r>
        <w:rPr>
          <w:u w:val="single"/>
        </w:rPr>
        <w:t xml:space="preserve">a detailed</w:t>
      </w:r>
      <w:r>
        <w:t xml:space="preserve"> </w:t>
      </w:r>
      <w:r>
        <w:t xml:space="preserve">description of the proposed ward's property,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liquid assets, including</w:t>
      </w:r>
      <w:r>
        <w:t xml:space="preserve"> any compensation, pension, insurance, or allowance to which the proposed ward may be entitled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non-liquid assets, including real property</w:t>
      </w:r>
      <w:r>
        <w:t xml:space="preserve">;</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1101.153(a), Estates Code, is amended to read as follows:</w:t>
      </w:r>
    </w:p>
    <w:p w:rsidR="003F3435" w:rsidRDefault="0032493E">
      <w:pPr>
        <w:spacing w:line="480" w:lineRule="auto"/>
        <w:ind w:firstLine="720"/>
        <w:jc w:val="both"/>
      </w:pPr>
      <w:r>
        <w:t xml:space="preserve">(a)</w:t>
      </w:r>
      <w:r xml:space="preserve">
        <w:t> </w:t>
      </w:r>
      <w:r xml:space="preserve">
        <w:t> </w:t>
      </w:r>
      <w:r>
        <w:t xml:space="preserve">A court order appointing a guardian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specify: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of the person appointed;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of the ward;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amount of any bond required;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that the clerk will issue letters of guardianship to the person appointed when the person has qualified according to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waives the guardian's training requirement, contain a finding that the waiver is in accordance with rules adopted by the supreme court under Section 155.203, Government Code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1104.402, Estates Code, is amended to read as follows:</w:t>
      </w:r>
    </w:p>
    <w:p w:rsidR="003F3435" w:rsidRDefault="0032493E">
      <w:pPr>
        <w:spacing w:line="480" w:lineRule="auto"/>
        <w:ind w:firstLine="720"/>
        <w:jc w:val="both"/>
      </w:pPr>
      <w:r>
        <w:t xml:space="preserve">Sec.</w:t>
      </w:r>
      <w:r xml:space="preserve">
        <w:t> </w:t>
      </w:r>
      <w:r>
        <w:t xml:space="preserve">1104.402.</w:t>
      </w:r>
      <w:r xml:space="preserve">
        <w:t> </w:t>
      </w:r>
      <w:r xml:space="preserve">
        <w:t> </w:t>
      </w:r>
      <w:r>
        <w:t xml:space="preserve">COURT CLERK'S DUTY TO OBTAIN CRIMINAL HISTORY RECORD INFORMATION[</w:t>
      </w:r>
      <w:r>
        <w:rPr>
          <w:strike/>
        </w:rPr>
        <w:t xml:space="preserve">; AUTHORITY TO CHARGE FEE</w:t>
      </w:r>
      <w:r>
        <w:t xml:space="preserve">].  [</w:t>
      </w:r>
      <w:r>
        <w:rPr>
          <w:strike/>
        </w:rPr>
        <w:t xml:space="preserve">(a)</w:t>
      </w:r>
      <w:r>
        <w:t xml:space="preserve">] </w:t>
      </w:r>
      <w:r>
        <w:t xml:space="preserve"> </w:t>
      </w:r>
      <w:r>
        <w:t xml:space="preserve">Except as provided by Section [</w:t>
      </w:r>
      <w:r>
        <w:rPr>
          <w:strike/>
        </w:rPr>
        <w:t xml:space="preserve">1104.403,</w:t>
      </w:r>
      <w:r>
        <w:t xml:space="preserve">] 1104.404[</w:t>
      </w:r>
      <w:r>
        <w:rPr>
          <w:strike/>
        </w:rPr>
        <w:t xml:space="preserve">,</w:t>
      </w:r>
      <w:r>
        <w:t xml:space="preserve">]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clerk may charge a $10 fee to recover the costs of obtaining criminal history record information under Subsection (a).</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1104.405(a), Estates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or provided under Section 1104.402[</w:t>
      </w:r>
      <w:r>
        <w:rPr>
          <w:strike/>
        </w:rPr>
        <w:t xml:space="preserve">, 1104.403,</w:t>
      </w:r>
      <w:r>
        <w:t xml:space="preserve">] or 1104.404 is privileged and confidential and is for the exclusive use of the court.  The criminal history record information may not be released or otherwise disclosed to any person or agency except on court order or consent of the person being investigated.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1151, Estates Code, is amended by adding Section 1151.005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1151.005.</w:t>
      </w:r>
      <w:r>
        <w:rPr>
          <w:u w:val="single"/>
        </w:rPr>
        <w:t xml:space="preserve"> </w:t>
      </w:r>
      <w:r>
        <w:rPr>
          <w:u w:val="single"/>
        </w:rPr>
        <w:t xml:space="preserve"> </w:t>
      </w:r>
      <w:r>
        <w:rPr>
          <w:u w:val="single"/>
        </w:rPr>
        <w:t xml:space="preserve">LEGAL PROCEEDINGS IN WHICH WARD IS PARTY OR WITNESS.</w:t>
      </w:r>
      <w:r>
        <w:rPr>
          <w:u w:val="single"/>
        </w:rPr>
        <w:t xml:space="preserve"> </w:t>
      </w:r>
      <w:r>
        <w:rPr>
          <w:u w:val="single"/>
        </w:rPr>
        <w:t xml:space="preserve"> </w:t>
      </w:r>
      <w:r>
        <w:rPr>
          <w:u w:val="single"/>
        </w:rPr>
        <w:t xml:space="preserve">The guardian of the person or of the estate of a ward may not be excluded from attending a legal proceeding in which the ward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as a witness.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1253.001, Estates Code, is amended to read as follows:</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APPLICATION TO TRANSFER GUARDIANSHIP TO FOREIGN JURISDICTION. </w:t>
      </w:r>
      <w:r>
        <w:t xml:space="preserve"> </w:t>
      </w:r>
      <w:r>
        <w:rPr>
          <w:u w:val="single"/>
        </w:rPr>
        <w:t xml:space="preserve">On application of the guardian or on the court's own motion, a</w:t>
      </w:r>
      <w:r>
        <w:t xml:space="preserve"> [</w:t>
      </w:r>
      <w:r>
        <w:rPr>
          <w:strike/>
        </w:rPr>
        <w:t xml:space="preserve">A guardian of the person or estate may apply to the</w:t>
      </w:r>
      <w:r>
        <w:t xml:space="preserve">] court that has jurisdiction over the guardianship </w:t>
      </w:r>
      <w:r>
        <w:rPr>
          <w:u w:val="single"/>
        </w:rPr>
        <w:t xml:space="preserve">may</w:t>
      </w:r>
      <w:r>
        <w:t xml:space="preserve"> [</w:t>
      </w:r>
      <w:r>
        <w:rPr>
          <w:strike/>
        </w:rPr>
        <w:t xml:space="preserve">to</w:t>
      </w:r>
      <w:r>
        <w:t xml:space="preserve">] transfer the guardianship to a court in a foreign jurisdiction to which the ward has permanently moved.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25.0006, Government Code,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except Subsection (a-4), Subsections (a-1), (a-2), [</w:t>
      </w:r>
      <w:r>
        <w:rPr>
          <w:strike/>
        </w:rPr>
        <w:t xml:space="preserve">and</w:t>
      </w:r>
      <w:r>
        <w:t xml:space="preserve">] (a-3)</w:t>
      </w:r>
      <w:r>
        <w:rPr>
          <w:u w:val="single"/>
        </w:rPr>
        <w:t xml:space="preserve">, and (a-5)</w:t>
      </w:r>
      <w:r>
        <w:t xml:space="preserve">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bond executed under Subsection (a-1) by the judge elected or appointed to a statutory county court or an insurance policy obtained under Subsection (a-3)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25.00231,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a bond executed under Subsection (b) by the judge elected or appointed to a statutory probate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bond executed under Subsection (a) by the judge elected or appointed to a county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81.114,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state bar shall provide a course of instruction for attorneys who represent </w:t>
      </w:r>
      <w:r>
        <w:rPr>
          <w:u w:val="single"/>
        </w:rPr>
        <w:t xml:space="preserve">any person's interests</w:t>
      </w:r>
      <w:r>
        <w:t xml:space="preserve"> [</w:t>
      </w:r>
      <w:r>
        <w:rPr>
          <w:strike/>
        </w:rPr>
        <w:t xml:space="preserve">parties</w:t>
      </w:r>
      <w:r>
        <w:t xml:space="preserve">] in guardianship cases or who serve as court-appointed guardians.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provider of a course described by this section may not charge more than the amount necessary to cover the costs of providing the course.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1104.403, Estates Code, is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w:t>
      </w:r>
      <w:r xml:space="preserve">
        <w:t> </w:t>
      </w:r>
      <w:r xml:space="preserve">
        <w:t> </w:t>
      </w:r>
      <w:r>
        <w:t xml:space="preserve">Section 202.054,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(b) Section 452.006(c), Estates Code, as added by this Act, applies only to a temporary administrator appointed on or after the effective date of this Act. </w:t>
      </w:r>
      <w:r>
        <w:t xml:space="preserve"> </w:t>
      </w:r>
      <w:r>
        <w:t xml:space="preserve">A temporary administrator appointed before the effective date of this Act is governed by the law in effect on the date the administrator was appointed,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503.002, Estates Code, as amended by this Act, applies only to a copy of a testamentary instrument or other document filed for recording on or after the effective date of this Act. </w:t>
      </w:r>
      <w:r>
        <w:t xml:space="preserve"> </w:t>
      </w:r>
      <w:r>
        <w:t xml:space="preserve">A copy of a testamentary instrument or other document filed before the effective date of this Act is governed by the law in effect on the date the instrument or document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1101.001, Estates Code, as amended by this Act, applies only to an application for the appointment of a guardian filed on or after the effective date of this Act.  An application for the appointment of a guardian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Sections 1054.201 and 1101.153, Estates Code, as amended by this Act, apply only to a guardianship proceeding commenced on or after the effective date of this Act.  A guardianship proceeding commenced before the effective date of this Act is governed by the law applicable to the proceeding immediately before the effective date of this Act,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1253.001, Estates Code, as amended by this Act, applies to a guardianship created before, on, or after the effective date of this Act.</w:t>
      </w:r>
    </w:p>
    <w:p w:rsidR="003F3435" w:rsidRDefault="0032493E">
      <w:pPr>
        <w:spacing w:line="480" w:lineRule="auto"/>
        <w:ind w:firstLine="720"/>
        <w:jc w:val="both"/>
      </w:pPr>
      <w:r>
        <w:t xml:space="preserve">(g)</w:t>
      </w:r>
      <w:r xml:space="preserve">
        <w:t> </w:t>
      </w:r>
      <w:r xml:space="preserve">
        <w:t> </w:t>
      </w:r>
      <w:r>
        <w:t xml:space="preserve">The changes in law made by this Act to Sections 25.0006, 25.00231, and 26.001, Government Code, apply only to an insurance policy delivered, issued for delivery, or renewed on or after January 1, 2020. </w:t>
      </w:r>
      <w:r>
        <w:t xml:space="preserve"> </w:t>
      </w:r>
      <w:r>
        <w:t xml:space="preserve">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