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86R13282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annual salary of a statutory probate judge.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25.0023,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(a-1), the</w:t>
      </w:r>
      <w:r>
        <w:t xml:space="preserve"> [</w:t>
      </w:r>
      <w:r>
        <w:rPr>
          <w:strike/>
        </w:rPr>
        <w:t xml:space="preserve">The</w:t>
      </w:r>
      <w:r>
        <w:t xml:space="preserve">] commissioners court shall set the annual salary of each judge of a statutory probate court at an amount that is at least equal to the total annual salary received by a district judge in the county.  A district judge's or statutory probate court judge's total annual salary includes contributions and supplements paid by the state or a county, other than contributions received as compensation under Section 25.0022(e).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judge of a statutory probate court is entitled to an annual salary, not including contributions and supplements paid by the state or county, in the amount that is equal to the salary to which a district judge with the same number of years of service credit in the Judicial Retirement System of Texas Plan One or the Judicial Retirement System of Texas Plan Two is entitled under Section 659.012(b).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first pay period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 but only if S.B.</w:t>
      </w:r>
      <w:r xml:space="preserve">
        <w:t> </w:t>
      </w:r>
      <w:r>
        <w:t xml:space="preserve">387, Acts of the 86th Legislature, Regular Session, 2019, or similar legislation becomes law. </w:t>
      </w:r>
      <w:r>
        <w:t xml:space="preserve"> </w:t>
      </w:r>
      <w:r>
        <w:t xml:space="preserve">If that bill or similar legislation does not become law,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