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86R13439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1982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speech protections for student journalism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51.9316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51.9316.</w:t>
      </w:r>
      <w:r>
        <w:rPr>
          <w:u w:val="single"/>
        </w:rPr>
        <w:t xml:space="preserve"> </w:t>
      </w:r>
      <w:r>
        <w:rPr>
          <w:u w:val="single"/>
        </w:rPr>
        <w:t xml:space="preserve"> </w:t>
      </w:r>
      <w:r>
        <w:rPr>
          <w:u w:val="single"/>
        </w:rPr>
        <w:t xml:space="preserve">STUDENT JOURNALISM.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"Protected speech" means speech protected by the First Amendment to the United States Constitution or by Section 8, Article I, Texas Constitution.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"Student publication" means any material that is primarily prepared, written, published, or broadcast by students enrolled at an institution of higher education and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distributed or generally made available to students enrolled at the institution;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prepared under the direction of a journalism or student publication advisor employed by the institution.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enrolled at an institution of higher education is entitled to exercise freedom of speech and freedom of the press in producing any student publication, including by determining the content of the publication so long as the content constitutes protected speech, regardless of whether the publication is produced using the institution's money, equipment, or facilities or in conjunction with any course in which the student is enrolled at the institution.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may not be construed to prohibit a journalism or student publication advisor employed by an institution of higher education from teaching professional standards of English and journalism to students enrolled at the institution.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journalism or student publication advisor employed by an institution of higher education may not be subjected to disciplinary action or any other form of punishment or retaliation for acting to protect or refusing to infringe on a student's rights as provided by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content of a student publication may not be construed as the policy or position of the institution of higher education at which the publication is produced.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institution of higher education or an employee of the institution is not liable in any civil or criminal action for the content of a student publication produced at the institution unless the institution or employee acted with wilful or wanton misconduct in permitting the publication to be produced.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academic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