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86R2060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excluding certain students from the computation of dropout and completion rates for purposes of public school accountability.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39.053(g-1),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In computing dropout and completion rates such as high school graduation rates under Subsection (c)(1)(B)(ix), the commissioner shall exclude: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students who are ordered by a court to attend a high school equivalency certificate program but who have not yet earned a high school equivalency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students who were previously reported to the state as dropouts, including a student who is reported as a dropout, reenrolls, and drops out again, regardless of the number of times of reenrollment and dropping out;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students in attendance who are not in membership for purposes of average daily attendance;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students whose initial enrollment in a school in the United States in grades 7 through 12 was as an unschooled asylee or refugee as defined by Section 39.027(a-1);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students who are detained at a county pre-adjudication or post-adjudication juvenile detention facility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district exclusively as a function of having been detained at the facility but are otherwise not students of the district in which the facility is located;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services by an open-enrollment charter school exclusively as the result of having been detained at the facility;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students who are incarcerated in state jails and federal penitentiaries as adults and as persons certified to stand trial as adults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who have suffered a condition, injury, or illness that requires substantial medical care and leaves the student unable to attend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