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1991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claims processes and reimbursement for, and overpayment recoupment processes imposed on, health care providers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531.024172, Government Code, is amended by amending Subsection (g) and adding Subsections (g-1) and (g-2) to read as follows:</w:t>
      </w:r>
    </w:p>
    <w:p w:rsidR="003F3435" w:rsidRDefault="0032493E">
      <w:pPr>
        <w:spacing w:line="480" w:lineRule="auto"/>
        <w:ind w:firstLine="720"/>
        <w:jc w:val="both"/>
      </w:pPr>
      <w:r>
        <w:t xml:space="preserve">(g)</w:t>
      </w:r>
      <w:r xml:space="preserve">
        <w:t> </w:t>
      </w:r>
      <w:r xml:space="preserve">
        <w:t> </w:t>
      </w:r>
      <w:r>
        <w:t xml:space="preserve">The commission may recognize a health care provider's proprietary electronic visit verification system</w:t>
      </w:r>
      <w:r>
        <w:rPr>
          <w:u w:val="single"/>
        </w:rPr>
        <w:t xml:space="preserve">, whether purchased or developed by the provider,</w:t>
      </w:r>
      <w:r>
        <w:t xml:space="preserve"> as complying with this section and allow the health care provider to use that system for a period determined by the commission if the commission determines that the system:</w:t>
      </w:r>
    </w:p>
    <w:p w:rsidR="003F3435" w:rsidRDefault="0032493E">
      <w:pPr>
        <w:spacing w:line="480" w:lineRule="auto"/>
        <w:ind w:firstLine="1440"/>
        <w:jc w:val="both"/>
      </w:pPr>
      <w:r>
        <w:t xml:space="preserve">(1)</w:t>
      </w:r>
      <w:r xml:space="preserve">
        <w:t> </w:t>
      </w:r>
      <w:r xml:space="preserve">
        <w:t> </w:t>
      </w:r>
      <w:r>
        <w:t xml:space="preserve">complies with all necessary data submission, exchange, and reporting requirements established under this section;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meets all other standards and requirements established under this section[</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has been in use by the health care provider since at least June 1, 2014</w:t>
      </w:r>
      <w:r>
        <w:t xml:space="preserv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If feasible, the executive commissioner shall ensure a health care provider that uses the provider's proprietary electronic visit verification system recognized under Subsection (g) is reimbursed for the use of that system.</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For purposes of facilitating the use of proprietary electronic visit verification systems by health care providers under Subsection (g) and in consultation with industry stakeholders and the work group established under Subsection (h), the commission or the executive commissioner, as appropriate,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 open model system that mitigates the administrative burdens identified by providers required to use electronic visit verification;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providers to use emerging technologies, including Internet-based, mobile telephone-based, and global positioning-based technologies, in the providers' proprietary electronic visit verification systems;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 rules governing data submission and provider reimbursement.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531.1131,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adopting rules establishing due process procedures under Subsection (e), the executive commissioner shall require that a managed care organization or an entity with which the managed care organization contracts under Section 531.113(a)(2) that engages in payment recovery efforts in accordance with this section and Section 531.1135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notice to a provider required to use electronic visit verification of the organization's intent to recoup overpayments in accordance with Section 531.1135;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provider described by Subdivision (1) at least 60 days to cure any defect in a claim before the organization may begin any efforts to collect overpayments.</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531, Government Code, is amended by adding Section 531.1135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531.1135.</w:t>
      </w:r>
      <w:r>
        <w:rPr>
          <w:u w:val="single"/>
        </w:rPr>
        <w:t xml:space="preserve"> </w:t>
      </w:r>
      <w:r>
        <w:rPr>
          <w:u w:val="single"/>
        </w:rPr>
        <w:t xml:space="preserve"> </w:t>
      </w:r>
      <w:r>
        <w:rPr>
          <w:u w:val="single"/>
        </w:rPr>
        <w:t xml:space="preserve">MANAGED CARE ORGANIZATIONS: </w:t>
      </w:r>
      <w:r>
        <w:rPr>
          <w:u w:val="single"/>
        </w:rPr>
        <w:t xml:space="preserve"> </w:t>
      </w:r>
      <w:r>
        <w:rPr>
          <w:u w:val="single"/>
        </w:rPr>
        <w:t xml:space="preserve">PROCESS TO RECOUP CERTAIN OVERPAYMENTS.  (a)</w:t>
      </w:r>
      <w:r>
        <w:rPr>
          <w:u w:val="single"/>
        </w:rPr>
        <w:t xml:space="preserve"> </w:t>
      </w:r>
      <w:r>
        <w:rPr>
          <w:u w:val="single"/>
        </w:rPr>
        <w:t xml:space="preserve"> </w:t>
      </w:r>
      <w:r>
        <w:rPr>
          <w:u w:val="single"/>
        </w:rPr>
        <w:t xml:space="preserve">The executive commissioner shall adopt rules that standardize the process by which a managed care organization collects alleged overpayments that are made to a health care provider and discovered through an audit or investigation conducted by the organization secondary to missing electronic visit verification information.  In adopting rules under this section, the executive commissioner shall require that the managed care organization: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written notice of the organization's intent to recoup overpayments not later than the 30th day after the date an audit is complete;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duration of audits to 24 months.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require that the notice required under this section inform the provider: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 the specific claims and electronic visit verification transactions that are the basis of the overpayment;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 the process the provider should use to communicate with the managed care organization to provide information about the electronic visit verification transactions;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 the provider's option to seek an informal resolution of the alleged overpayment;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 the process to appeal the determination that an overpayment was made;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provider intends to respond to the notice, that the provider must respond not later than the 30th day after the date the provider receives the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 managed care organization may not attempt to recover an overpayment described by Subsection (a) until the provider has exhausted all rights to an appeal.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As soon as practicable after the effective date of this Act, the Health and Human Services Commission shall conduct a study to evaluate the impacts and effectiveness of using the Medicare education adjustment factor assigned under 42 C.F.R. Section 412.105 in effect on the effective date of this Act to calculate the medical education add-on used to reimburse teaching hospitals for the provision of inpatient hospital care under Medicaid. </w:t>
      </w:r>
      <w:r>
        <w:t xml:space="preserve"> </w:t>
      </w:r>
      <w:r>
        <w:t xml:space="preserve">The commission shall develop and make recommendations on alternative factors and methodologies for calculating and annually updating the medical education add-on that:</w:t>
      </w:r>
    </w:p>
    <w:p w:rsidR="003F3435" w:rsidRDefault="0032493E">
      <w:pPr>
        <w:spacing w:line="480" w:lineRule="auto"/>
        <w:ind w:firstLine="1440"/>
        <w:jc w:val="both"/>
      </w:pPr>
      <w:r>
        <w:t xml:space="preserve">(1)</w:t>
      </w:r>
      <w:r xml:space="preserve">
        <w:t> </w:t>
      </w:r>
      <w:r xml:space="preserve">
        <w:t> </w:t>
      </w:r>
      <w:r>
        <w:t xml:space="preserve">best recognize the higher costs incurred by teaching hospitals; and</w:t>
      </w:r>
    </w:p>
    <w:p w:rsidR="003F3435" w:rsidRDefault="0032493E">
      <w:pPr>
        <w:spacing w:line="480" w:lineRule="auto"/>
        <w:ind w:firstLine="1440"/>
        <w:jc w:val="both"/>
      </w:pPr>
      <w:r>
        <w:t xml:space="preserve">(2)</w:t>
      </w:r>
      <w:r xml:space="preserve">
        <w:t> </w:t>
      </w:r>
      <w:r xml:space="preserve">
        <w:t> </w:t>
      </w:r>
      <w:r>
        <w:t xml:space="preserve">mitigate issues identified with using the Medicare education adjustment factor without reducing reimbursements to urban teaching hospitals that have maintained or increased the number of interns and residents enrolled in the hospitals' approved teaching programs.</w:t>
      </w:r>
    </w:p>
    <w:p w:rsidR="003F3435" w:rsidRDefault="0032493E">
      <w:pPr>
        <w:spacing w:line="480" w:lineRule="auto"/>
        <w:ind w:firstLine="720"/>
        <w:jc w:val="both"/>
      </w:pPr>
      <w:r>
        <w:t xml:space="preserve">(b)</w:t>
      </w:r>
      <w:r xml:space="preserve">
        <w:t> </w:t>
      </w:r>
      <w:r xml:space="preserve">
        <w:t> </w:t>
      </w:r>
      <w:r>
        <w:t xml:space="preserve">Not later than December 1, 2020, the Health and Human Services Commission shall report its findings and recommendations under Subsection (a) of this section to the governor, the standing committees of the senate and the house of representatives having primary jurisdiction over matters relating to state finance and appropriations from the state treasury, the standing committees of the senate and house of representatives having primary jurisdiction over Medicaid, and the Legislative Budget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Health and Human Services Commission is required to implement a provision of this Act only if the legislature appropriates money to the commission specifically for that purpose.  If the legislature does not appropriate money specifically for that purpose, the commission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1991 passed the Senate on May</w:t>
      </w:r>
      <w:r xml:space="preserve">
        <w:t> </w:t>
      </w:r>
      <w:r>
        <w:t xml:space="preserve">1,</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23,</w:t>
      </w:r>
      <w:r xml:space="preserve">
        <w:t> </w:t>
      </w:r>
      <w:r>
        <w:t xml:space="preserve">2019, Senate refused to concur in House amendments and requested appointment of Conference Committee; May</w:t>
      </w:r>
      <w:r xml:space="preserve">
        <w:t> </w:t>
      </w:r>
      <w:r>
        <w:t xml:space="preserve">23,</w:t>
      </w:r>
      <w:r xml:space="preserve">
        <w:t> </w:t>
      </w:r>
      <w:r>
        <w:t xml:space="preserve">2019, House granted request of the Senate; May</w:t>
      </w:r>
      <w:r xml:space="preserve">
        <w:t> </w:t>
      </w:r>
      <w:r>
        <w:t xml:space="preserve">26,</w:t>
      </w:r>
      <w:r xml:space="preserve">
        <w:t> </w:t>
      </w:r>
      <w:r>
        <w:t xml:space="preserve">2019,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1991 passed the House, with amendments,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141, Nays</w:t>
      </w:r>
      <w:r xml:space="preserve">
        <w:t> </w:t>
      </w:r>
      <w:r>
        <w:t xml:space="preserve">1, two</w:t>
      </w:r>
      <w:r xml:space="preserve">
        <w:t> </w:t>
      </w:r>
      <w:r>
        <w:t xml:space="preserve">present not voting; May </w:t>
      </w:r>
      <w:r xml:space="preserve">
        <w:t> </w:t>
      </w:r>
      <w:r>
        <w:t xml:space="preserve">23,</w:t>
      </w:r>
      <w:r xml:space="preserve">
        <w:t> </w:t>
      </w:r>
      <w:r>
        <w:t xml:space="preserve">2019, House granted request of the Senate for appointment of Conference Committee; May</w:t>
      </w:r>
      <w:r xml:space="preserve">
        <w:t> </w:t>
      </w:r>
      <w:r>
        <w:t xml:space="preserve">26,</w:t>
      </w:r>
      <w:r xml:space="preserve">
        <w:t> </w:t>
      </w:r>
      <w:r>
        <w:t xml:space="preserve">2019, House adopted Conference Committee Report by the following vote:</w:t>
      </w:r>
      <w:r xml:space="preserve">
        <w:t> </w:t>
      </w:r>
      <w:r xml:space="preserve">
        <w:t> </w:t>
      </w:r>
      <w:r>
        <w:t xml:space="preserve">Yeas</w:t>
      </w:r>
      <w:r xml:space="preserve">
        <w:t> </w:t>
      </w:r>
      <w:r>
        <w:t xml:space="preserve">142, Nays</w:t>
      </w:r>
      <w:r xml:space="preserve">
        <w:t> </w:t>
      </w:r>
      <w:r>
        <w:t xml:space="preserve">1, one</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