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1995</w:t>
      </w:r>
    </w:p>
    <w:p w:rsidR="003F3435" w:rsidRDefault="0032493E">
      <w:pPr>
        <w:ind w:firstLine="720"/>
        <w:jc w:val="both"/>
      </w:pPr>
      <w:r>
        <w:t xml:space="preserve">(Paddie)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of certain occupational licensing rules by the office of the governor.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57, Occupations Code, is amended by designating Section 57.001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57, Occupations Code, is amended by adding Subchapter B, and a heading is added to that subchapter to read as follows:</w:t>
      </w:r>
    </w:p>
    <w:p w:rsidR="003F3435" w:rsidRDefault="0032493E">
      <w:pPr>
        <w:spacing w:line="480" w:lineRule="auto"/>
        <w:jc w:val="center"/>
      </w:pPr>
      <w:r>
        <w:rPr>
          <w:u w:val="single"/>
        </w:rPr>
        <w:t xml:space="preserve">SUBCHAPTER B.  GOVERNING BOARD MEMBERSHIP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57.002, Occupations Code, is transferred to Subchapter B, Chapter 57, Occupations Code, as added by this Act, and redesignated as Section 57.051, Occupations Code, to read as follows:</w:t>
      </w:r>
    </w:p>
    <w:p w:rsidR="003F3435" w:rsidRDefault="0032493E">
      <w:pPr>
        <w:spacing w:line="480" w:lineRule="auto"/>
        <w:ind w:firstLine="720"/>
        <w:jc w:val="both"/>
      </w:pPr>
      <w:r>
        <w:t xml:space="preserve">Sec.</w:t>
      </w:r>
      <w:r xml:space="preserve">
        <w:t> </w:t>
      </w:r>
      <w:r>
        <w:rPr>
          <w:u w:val="single"/>
        </w:rPr>
        <w:t xml:space="preserve">57.051</w:t>
      </w:r>
      <w:r xml:space="preserve">
        <w:t> </w:t>
      </w:r>
      <w:r>
        <w:t xml:space="preserve">[</w:t>
      </w:r>
      <w:r>
        <w:rPr>
          <w:strike/>
        </w:rPr>
        <w:t xml:space="preserve">57.002</w:t>
      </w:r>
      <w:r>
        <w:t xml:space="preserve">].</w:t>
      </w:r>
      <w:r xml:space="preserve">
        <w:t> </w:t>
      </w:r>
      <w:r xml:space="preserve">
        <w:t> </w:t>
      </w:r>
      <w:r>
        <w:t xml:space="preserve">REQUIREMENTS FOR GOVERNING BOARD MEMBERSHIP.  A person may not be required to be a member of a private trade association as a precondition to serving as a member of the governing board of a state agency that issues a license or otherwise regulates a business, occupation, or profession.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57, Occupations Code, is amended by adding Subchapter C to read as follows:</w:t>
      </w:r>
    </w:p>
    <w:p w:rsidR="003F3435" w:rsidRDefault="0032493E">
      <w:pPr>
        <w:spacing w:line="480" w:lineRule="auto"/>
        <w:jc w:val="center"/>
      </w:pPr>
      <w:r>
        <w:rPr>
          <w:u w:val="single"/>
        </w:rPr>
        <w:t xml:space="preserve">SUBCHAPTER C.  REVIEW OF STATE AGENCY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"division"</w:t>
      </w:r>
      <w:r>
        <w:rPr>
          <w:u w:val="single"/>
        </w:rPr>
        <w:t xml:space="preserve"> </w:t>
      </w:r>
      <w:r>
        <w:rPr>
          <w:u w:val="single"/>
        </w:rPr>
        <w:t xml:space="preserve">means the division of the governor's office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57.102.</w:t>
      </w:r>
      <w:r>
        <w:rPr>
          <w:u w:val="single"/>
        </w:rPr>
        <w:t xml:space="preserve"> </w:t>
      </w:r>
      <w:r>
        <w:rPr>
          <w:u w:val="single"/>
        </w:rPr>
        <w:t xml:space="preserve"> </w:t>
      </w:r>
      <w:r>
        <w:rPr>
          <w:u w:val="single"/>
        </w:rPr>
        <w:t xml:space="preserve">APPLICABILITY.  This subchapter applies only to a state agency with a governing board that is controlled by persons who provide services that are regulated by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57.103.</w:t>
      </w:r>
      <w:r>
        <w:rPr>
          <w:u w:val="single"/>
        </w:rPr>
        <w:t xml:space="preserve"> </w:t>
      </w:r>
      <w:r>
        <w:rPr>
          <w:u w:val="single"/>
        </w:rPr>
        <w:t xml:space="preserve"> </w:t>
      </w:r>
      <w:r>
        <w:rPr>
          <w:u w:val="single"/>
        </w:rPr>
        <w:t xml:space="preserve">ESTABLISHMENT OF DIVISION.  (a)</w:t>
      </w:r>
      <w:r>
        <w:rPr>
          <w:u w:val="single"/>
        </w:rPr>
        <w:t xml:space="preserve"> </w:t>
      </w:r>
      <w:r>
        <w:rPr>
          <w:u w:val="single"/>
        </w:rPr>
        <w:t xml:space="preserve"> </w:t>
      </w:r>
      <w:r>
        <w:rPr>
          <w:u w:val="single"/>
        </w:rPr>
        <w:t xml:space="preserve">The governor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division to review state agency rules in accordance with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 director for the division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be licensed to practice law in this state and have experience in antitrust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serves a two-year term expiring February 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57.104.</w:t>
      </w:r>
      <w:r>
        <w:rPr>
          <w:u w:val="single"/>
        </w:rPr>
        <w:t xml:space="preserve"> </w:t>
      </w:r>
      <w:r>
        <w:rPr>
          <w:u w:val="single"/>
        </w:rPr>
        <w:t xml:space="preserve"> </w:t>
      </w:r>
      <w:r>
        <w:rPr>
          <w:u w:val="single"/>
        </w:rPr>
        <w:t xml:space="preserve">CONFLICT OF INTEREST.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appointed as director or employed by the division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officer, employee, or paid consultant of a Texas trade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spouse is an officer, manager, or paid consultant of a Texas trade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 appointed as director or act as the general counsel to the division if the person is required to register as a lobbyist under Chapter 305,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57.105.</w:t>
      </w:r>
      <w:r>
        <w:rPr>
          <w:u w:val="single"/>
        </w:rPr>
        <w:t xml:space="preserve"> </w:t>
      </w:r>
      <w:r>
        <w:rPr>
          <w:u w:val="single"/>
        </w:rPr>
        <w:t xml:space="preserve"> </w:t>
      </w:r>
      <w:r>
        <w:rPr>
          <w:u w:val="single"/>
        </w:rPr>
        <w:t xml:space="preserve">SUBMISSION OF CERTAIN STATE AGENCY RULES.  (a)</w:t>
      </w:r>
      <w:r>
        <w:rPr>
          <w:u w:val="single"/>
        </w:rPr>
        <w:t xml:space="preserve"> </w:t>
      </w:r>
      <w:r>
        <w:rPr>
          <w:u w:val="single"/>
        </w:rPr>
        <w:t xml:space="preserve"> </w:t>
      </w:r>
      <w:r>
        <w:rPr>
          <w:u w:val="single"/>
        </w:rPr>
        <w:t xml:space="preserve">A state agency that issues a license must submit any proposed rule affecting market competition in this state relating to the business, occupation, or profession for which a license is issued to the division for review before the rule is adopted or implemented. </w:t>
      </w:r>
      <w:r>
        <w:rPr>
          <w:u w:val="single"/>
        </w:rPr>
        <w:t xml:space="preserve"> </w:t>
      </w:r>
      <w:r>
        <w:rPr>
          <w:u w:val="single"/>
        </w:rPr>
        <w:t xml:space="preserve">A state agency that issues a license must also submit to the division for review any rule that the agency is considering for readoption under Section 2001.039, Government Code, if the rule affects market competition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agency must include with the submission a statement of the purpose for the proposed rule, copies of all administrative records regarding the proposed rule, including any information or comments the agency received from the public, and any other information required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rule affects market competition if the rule would, if implemented or readopted: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barrier to market participation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 in higher prices or reduced competition for a product or service provided by a license holder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57.106.</w:t>
      </w:r>
      <w:r>
        <w:rPr>
          <w:u w:val="single"/>
        </w:rPr>
        <w:t xml:space="preserve"> </w:t>
      </w:r>
      <w:r>
        <w:rPr>
          <w:u w:val="single"/>
        </w:rPr>
        <w:t xml:space="preserve"> </w:t>
      </w:r>
      <w:r>
        <w:rPr>
          <w:u w:val="single"/>
        </w:rPr>
        <w:t xml:space="preserve">REVIEW BY DIVISION.  (a)</w:t>
      </w:r>
      <w:r>
        <w:rPr>
          <w:u w:val="single"/>
        </w:rPr>
        <w:t xml:space="preserve"> </w:t>
      </w:r>
      <w:r>
        <w:rPr>
          <w:u w:val="single"/>
        </w:rPr>
        <w:t xml:space="preserve"> </w:t>
      </w:r>
      <w:r>
        <w:rPr>
          <w:u w:val="single"/>
        </w:rPr>
        <w:t xml:space="preserve">The division shall conduct a thorough, independent review of each proposed rule submitted under Section 57.105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effect of the proposed rule on market competition is consistent with state policy as established by the applicable state agency's governing statute;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proposed rule promotes a clearly articulated and affirmatively expressed policy as established by the legislature to displace competition with government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review,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information from the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state agency to conduct an analysis of possible implications of the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public comments;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 public hearings.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complete the review not later than the 90th day after the date the proposed rule is submitted under Section 57.105.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review, the division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proposed rule;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reject the proposed rule and return the rule to the state agency with instructions for revising the rule to be consistent with applicable state policy.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agency may not finally adopt or implement a proposed rule required to be submitted for review under this subchapter unless the division has approved the rule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division shall, for each proposed rule submitted under this subchapter, provide to the state agency and make available to the public an explanation of the division's reasons for approving or rejecting the rule, including a discussion of the division's determination regarding the consistency of the rule with applicable state policy.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division may initiate a review of a proposed rule that was not submitted for review under this subchapter if the division has reason to believe that the proposed rule may have an anticompetitive market effect. </w:t>
      </w:r>
      <w:r>
        <w:rPr>
          <w:u w:val="single"/>
        </w:rPr>
        <w:t xml:space="preserve"> </w:t>
      </w:r>
      <w:r>
        <w:rPr>
          <w:u w:val="single"/>
        </w:rPr>
        <w:t xml:space="preserve">A state agency may not finally adopt or implement a proposed rule for which the division has initiated a review under this subsection unless the division approves the rule in accordance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conducting a review of a proposed rule or deciding whether to initiate a review, the division shall only consider evidence or communications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submitted to the division in writing from an identified person or entity and made available to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in a public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generally known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57.107.</w:t>
      </w:r>
      <w:r>
        <w:rPr>
          <w:u w:val="single"/>
        </w:rPr>
        <w:t xml:space="preserve"> </w:t>
      </w:r>
      <w:r>
        <w:rPr>
          <w:u w:val="single"/>
        </w:rPr>
        <w:t xml:space="preserve"> </w:t>
      </w:r>
      <w:r>
        <w:rPr>
          <w:u w:val="single"/>
        </w:rPr>
        <w:t xml:space="preserve">RULEMAKING AUTHORITY.  The division may adopt rules to carry out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office of the governor is required to implement a provision of this Act only if the legislature appropriates money specifically for that purpose. </w:t>
      </w:r>
      <w:r>
        <w:t xml:space="preserve"> </w:t>
      </w:r>
      <w:r>
        <w:t xml:space="preserve">If the legislature does not appropriate money specifically for that purpose, the office of the governor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