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86R2930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school-based behavioral health centers by school districts and a grant program administered by the executive commissioner of the Health and Human Services Commission for the operation of those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Education Code, is amended by adding Subchapter B-1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B-1. SCHOOL-BASED BEHAVIORAL HEALTH CENTERS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"Behavioral health services" includes mental health assessments, crisis interventions, counseling, mental health treatments and referrals to a continuum of mental health services, including psychiatric care, community support programs, and inpatient or outpatient care programs.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"Executive commissioner"</w:t>
      </w:r>
      <w:r>
        <w:rPr>
          <w:u w:val="single"/>
        </w:rPr>
        <w:t xml:space="preserve"> </w:t>
      </w:r>
      <w:r>
        <w:rPr>
          <w:u w:val="single"/>
        </w:rPr>
        <w:t xml:space="preserve">means the executive commissioner of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SCHOOL-BASED BEHAVIORAL HEALTH CENTER. (a) A school district may establish a school-based behavioral health center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accessible behavioral health services to students and their families;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the emotional well-being and academic performance of medically underserved students and their families;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integrate behavioral health services in the school environment.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combine a school-based behavioral health center with a school-based health center established under Subchapter B or any other district program that provides primary health care services to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CENTER REQUIREMENTS.  (a) </w:t>
      </w:r>
      <w:r>
        <w:rPr>
          <w:u w:val="single"/>
        </w:rPr>
        <w:t xml:space="preserve"> </w:t>
      </w:r>
      <w:r>
        <w:rPr>
          <w:u w:val="single"/>
        </w:rPr>
        <w:t xml:space="preserve">A school-based behavioral health center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located at or near a school district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organized with assistance from the community and relevant health care providers;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behavioral health services during school hours to students in accordance with: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federal, state, and local laws;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established behavioral health standards;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community practice.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school-based behavioral health center must be administered by an eligible entity. </w:t>
      </w:r>
      <w:r>
        <w:rPr>
          <w:u w:val="single"/>
        </w:rPr>
        <w:t xml:space="preserve"> </w:t>
      </w:r>
      <w:r>
        <w:rPr>
          <w:u w:val="single"/>
        </w:rPr>
        <w:t xml:space="preserve">An eligible entity must be a community-based organization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health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federally qualified health center, as defined by 42 U.S.C. Section 1396d(l)(2)(B);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community mental health center, as defined by 42 U.S.C. Section 1395x(ff)(3)(B);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provider whose sole purpose is providing school-based behavioral health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nonprofit health care agency or behavioral health care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GRANTS.  (a) </w:t>
      </w:r>
      <w:r>
        <w:rPr>
          <w:u w:val="single"/>
        </w:rPr>
        <w:t xml:space="preserve"> </w:t>
      </w:r>
      <w:r>
        <w:rPr>
          <w:u w:val="single"/>
        </w:rPr>
        <w:t xml:space="preserve">The executive commissioner shall administer a program under which grants are awarded to assist school districts with the costs of operating school-based behavioral health centers.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to receive a grant under this section, a school district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or propose to establish a school-based behavioral health center that meets the requirements under Section 38.083;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sufficient information establishing local need for the behavioral health services provided by or proposed to be provided by the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sufficient evidence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obtain parental consent before providing behavioral health services to children;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will establish and maintain relationships with health care providers in the district;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offer: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on-site access during each instructional day;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24-hour coverage through an on-call system to ensure year-round access to the center's services;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be integrated into the school environment and will coordinate behavioral health resources with district educators and other appropriate support personnel, including other school-based health care providers;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entity administering the center will assume all responsibility for the administration, operation, and oversight of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any other information the executive commissioner determines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awarding grants under this section, the executive commissioner shall give priority to school districts that seek funding for a school-based behavioral health center that meets at least two of the following criteria: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has already been established;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will be established at a campus that does not currently have a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serves or will serve an area in which there are barriers to students accessing behavioral health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center serves or will serve a campus at which 50 percent or more of the students in daily attendance at the campus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uninsured, underinsured, or enrolled in a public health insurance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educationally disadvantaged.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amount of each grant awarded under this section. In determining the amount of a grant, the executive commissioner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financial need of the school district to operate the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funding provided to the school district for the operation of the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factor the executive commissioner determines relevant.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grant awarded under this section may be used only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salaries of health care providers who provide behavioral health services through the school-based behavioral health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overhead costs of the center;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costs related to managing the center's programs.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provide to a school district that receives a grant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technical assistance;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and program management assistance and training;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operational and administrative support;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best practices in offering behavioral health services through a school-based behavioral health center.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adopt rules as necessary to implement this section, including rules regarding the evaluation and monitoring of school-based behavioral health centers operated by school districts that receive a grant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