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86R7615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border counties and municipalities in those counties to address population growth and prevent the proliferation of substandard dwellings;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242, Local Government Code, is amended by adding Subchapter B to read as follows:</w:t>
      </w:r>
    </w:p>
    <w:p w:rsidR="003F3435" w:rsidRDefault="0032493E">
      <w:pPr>
        <w:spacing w:line="480" w:lineRule="auto"/>
        <w:jc w:val="center"/>
      </w:pPr>
      <w:r>
        <w:rPr>
          <w:u w:val="single"/>
        </w:rPr>
        <w:t xml:space="preserve">SUBCHAPTER B.  DEVELOPMENT REGULATIONS IN CERTAIN BORDER COUNTIES</w:t>
      </w:r>
    </w:p>
    <w:p w:rsidR="003F3435" w:rsidRDefault="0032493E">
      <w:pPr>
        <w:spacing w:line="480" w:lineRule="auto"/>
        <w:jc w:val="center"/>
      </w:pPr>
      <w:r>
        <w:rPr>
          <w:u w:val="single"/>
        </w:rPr>
        <w:t xml:space="preserve">AND MUNICIPALITIES LOCATED IN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more than 400,000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along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adjacent to another county with a population of more than 400,000;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that county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does not exercise in the municipality's extraterritorial jurisdiction the authority described by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by resolution authorizes the municipality to exercise in the municipality's extraterritorial jurisdiction the authority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242.052.</w:t>
      </w:r>
      <w:r>
        <w:rPr>
          <w:u w:val="single"/>
        </w:rPr>
        <w:t xml:space="preserve"> </w:t>
      </w:r>
      <w:r>
        <w:rPr>
          <w:u w:val="single"/>
        </w:rPr>
        <w:t xml:space="preserve"> </w:t>
      </w:r>
      <w:r>
        <w:rPr>
          <w:u w:val="single"/>
        </w:rPr>
        <w:t xml:space="preserve">REGULATORY AUTHORITY. </w:t>
      </w:r>
      <w:r>
        <w:rPr>
          <w:u w:val="single"/>
        </w:rPr>
        <w:t xml:space="preserve"> </w:t>
      </w:r>
      <w:r>
        <w:rPr>
          <w:u w:val="single"/>
        </w:rPr>
        <w:t xml:space="preserve">(a) </w:t>
      </w:r>
      <w:r>
        <w:rPr>
          <w:u w:val="single"/>
        </w:rPr>
        <w:t xml:space="preserve"> </w:t>
      </w:r>
      <w:r>
        <w:rPr>
          <w:u w:val="single"/>
        </w:rPr>
        <w:t xml:space="preserve">The commissioners court of a county to which this subchapter applies may, by order, regulate residential land development in the unincorporated area of the county. </w:t>
      </w:r>
      <w:r>
        <w:rPr>
          <w:u w:val="single"/>
        </w:rPr>
        <w:t xml:space="preserve"> </w:t>
      </w:r>
      <w:r>
        <w:rPr>
          <w:u w:val="single"/>
        </w:rPr>
        <w:t xml:space="preserve">The governing body of a municipality to which this subchapter applies may, by ordinance, regulate residential land development in the municipality's extraterritorial jurisdiction. </w:t>
      </w:r>
      <w:r>
        <w:rPr>
          <w:u w:val="single"/>
        </w:rPr>
        <w:t xml:space="preserve"> </w:t>
      </w:r>
      <w:r>
        <w:rPr>
          <w:u w:val="single"/>
        </w:rPr>
        <w:t xml:space="preserve">By this authority, the commissioners court or governing body may prevent the proliferation of colonias and other areas with substandard buildings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adopting regulations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maximum densities, including the size of lots;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height, number of stories, size, or number of buildings or other structures that may be located on a lot or 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location of buildings and other structures on a lot or tract;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preparation of a plan for utility development, environmental effect and adaptation, utility extension, and capacity planning and providing financial analysis of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building codes to promote safe and uniform building, plumbing, and electrical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tract of land is appraised as agricultural or open-space land by the appraisal district, the commissioners court or governing body may not regulate land development on that tract under the authority granted by Subsection (a)(1)(B) or (C) or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granted under this section does not authorize the commissioners court or governing body to adopt an order regulating commercial property that is uninhabitable.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granted under this section does not authorize the commissioners court or governing body to adopt an order that limits or otherwise impairs the rights of individuals or entities in the exploration, development, or production of oil, gas, or other minerals.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242.053.</w:t>
      </w:r>
      <w:r>
        <w:rPr>
          <w:u w:val="single"/>
        </w:rPr>
        <w:t xml:space="preserve"> </w:t>
      </w:r>
      <w:r>
        <w:rPr>
          <w:u w:val="single"/>
        </w:rPr>
        <w:t xml:space="preserve"> </w:t>
      </w:r>
      <w:r>
        <w:rPr>
          <w:u w:val="single"/>
        </w:rPr>
        <w:t xml:space="preserve">BUILDING PERMITS. </w:t>
      </w:r>
      <w:r>
        <w:rPr>
          <w:u w:val="single"/>
        </w:rPr>
        <w:t xml:space="preserve"> </w:t>
      </w:r>
      <w:r>
        <w:rPr>
          <w:u w:val="single"/>
        </w:rPr>
        <w:t xml:space="preserve">(a)</w:t>
      </w:r>
      <w:r>
        <w:rPr>
          <w:u w:val="single"/>
        </w:rPr>
        <w:t xml:space="preserve"> </w:t>
      </w:r>
      <w:r>
        <w:rPr>
          <w:u w:val="single"/>
        </w:rPr>
        <w:t xml:space="preserve"> </w:t>
      </w:r>
      <w:r>
        <w:rPr>
          <w:u w:val="single"/>
        </w:rPr>
        <w:t xml:space="preserve">The county or municipality, as appropriate, shall issue a building permit if the person submitting the application for the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files information relating to the location of the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files the building plans for the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complies with the applicable regulations relating to the issuance of the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or municipality may charge a reasonable building permit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deposit fees collected under this section in an account in its general fund and dedicate the fees to the building permit program.  The funds in the account may be used only for the purpose of administering the building permit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242.054.</w:t>
      </w:r>
      <w:r>
        <w:rPr>
          <w:u w:val="single"/>
        </w:rPr>
        <w:t xml:space="preserve"> </w:t>
      </w:r>
      <w:r>
        <w:rPr>
          <w:u w:val="single"/>
        </w:rPr>
        <w:t xml:space="preserve"> </w:t>
      </w:r>
      <w:r>
        <w:rPr>
          <w:u w:val="single"/>
        </w:rPr>
        <w:t xml:space="preserve">MUNICIPAL ORDINANCE PREVAILS OVER COUNTY ORDER. </w:t>
      </w:r>
      <w:r>
        <w:rPr>
          <w:u w:val="single"/>
        </w:rPr>
        <w:t xml:space="preserve"> </w:t>
      </w:r>
      <w:r>
        <w:rPr>
          <w:u w:val="single"/>
        </w:rPr>
        <w:t xml:space="preserve">If an order adopted by the county under this subchapter conflicts with an ordinance of a municipality, the municipal ordinance prevails within the municipality's jurisdiction to the extent of the conflict.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242.055.</w:t>
      </w:r>
      <w:r>
        <w:rPr>
          <w:u w:val="single"/>
        </w:rPr>
        <w:t xml:space="preserve"> </w:t>
      </w:r>
      <w:r>
        <w:rPr>
          <w:u w:val="single"/>
        </w:rPr>
        <w:t xml:space="preserve"> </w:t>
      </w:r>
      <w:r>
        <w:rPr>
          <w:u w:val="single"/>
        </w:rPr>
        <w:t xml:space="preserve">EXISTING AUTHORITY UNAFFECTED. </w:t>
      </w:r>
      <w:r>
        <w:rPr>
          <w:u w:val="single"/>
        </w:rPr>
        <w:t xml:space="preserve"> </w:t>
      </w:r>
      <w:r>
        <w:rPr>
          <w:u w:val="single"/>
        </w:rPr>
        <w:t xml:space="preserve">The authority granted by this subchapter does not affect the authority of the commissioners court or governing body to adopt an order or ordinance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242.056.</w:t>
      </w:r>
      <w:r>
        <w:rPr>
          <w:u w:val="single"/>
        </w:rPr>
        <w:t xml:space="preserve"> </w:t>
      </w:r>
      <w:r>
        <w:rPr>
          <w:u w:val="single"/>
        </w:rPr>
        <w:t xml:space="preserve"> </w:t>
      </w:r>
      <w:r>
        <w:rPr>
          <w:u w:val="single"/>
        </w:rPr>
        <w:t xml:space="preserve">INJUNCTION. </w:t>
      </w:r>
      <w:r>
        <w:rPr>
          <w:u w:val="single"/>
        </w:rPr>
        <w:t xml:space="preserve"> </w:t>
      </w:r>
      <w:r>
        <w:rPr>
          <w:u w:val="single"/>
        </w:rPr>
        <w:t xml:space="preserve">The county or municipality, in a suit brought by the appropriate attorney representing the county or municipality in the district court, is entitled to appropriate injunctive relief to prevent the violation or threatened violation of the entity's order or ordinance adopted under this subchapter from continuing or occurring.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242.057.</w:t>
      </w:r>
      <w:r>
        <w:rPr>
          <w:u w:val="single"/>
        </w:rPr>
        <w:t xml:space="preserve"> </w:t>
      </w:r>
      <w:r>
        <w:rPr>
          <w:u w:val="single"/>
        </w:rPr>
        <w:t xml:space="preserve"> </w:t>
      </w:r>
      <w:r>
        <w:rPr>
          <w:u w:val="single"/>
        </w:rPr>
        <w:t xml:space="preserve">PENALTY; EXCEPTION.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violates a restriction or prohibition imposed by an order or ordinance adopted under this subchapter.  An offense under this 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owner-occupant of a residential dwelling that is classified by the Texas Department of Housing and Community Affairs as a low-income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dwelling was constructed before the effective date of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violation related to a building standard or building code for that dwelling;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or municipality, 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make available to the person a grant or loan in an amount sufficient to cure the violation;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made available to the person a loan that was sufficient to cure the violation but that caused the housing expenses of the person to exceed 30 percent of the person's net income.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242, Local Government Code, is amended to read as follows:</w:t>
      </w:r>
    </w:p>
    <w:p w:rsidR="003F3435" w:rsidRDefault="0032493E">
      <w:pPr>
        <w:spacing w:line="480" w:lineRule="auto"/>
        <w:jc w:val="center"/>
      </w:pPr>
      <w:r>
        <w:t xml:space="preserve">CHAPTER 242. </w:t>
      </w:r>
      <w:r>
        <w:t xml:space="preserve"> </w:t>
      </w:r>
      <w:r>
        <w:t xml:space="preserve">AUTHORITY OF MUNICIPALITY AND COUNTY TO REGULATE SUBDIVISIONS </w:t>
      </w:r>
      <w:r>
        <w:rPr>
          <w:u w:val="single"/>
        </w:rPr>
        <w:t xml:space="preserve">AND PROPERTY DEVELOPMENT</w:t>
      </w:r>
      <w:r>
        <w:t xml:space="preserve"> [</w:t>
      </w:r>
      <w:r>
        <w:rPr>
          <w:strike/>
        </w:rPr>
        <w:t xml:space="preserve">IN AND OUTSIDE MUNICIPALITY'S EXTRATERRITORIAL JURISDICTION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242, Local Government Code, is amended by designating Sections 242.001, 242.0015, 242.002, and 242.003 as Subchapter A and adding a subchapter heading to read as follows:</w:t>
      </w:r>
    </w:p>
    <w:p w:rsidR="003F3435" w:rsidRDefault="0032493E">
      <w:pPr>
        <w:spacing w:line="480" w:lineRule="auto"/>
        <w:jc w:val="center"/>
      </w:pPr>
      <w:r>
        <w:rPr>
          <w:u w:val="single"/>
        </w:rPr>
        <w:t xml:space="preserve">SUBCHAPTER A.  AUTHORITY TO REGULATE SUBDIVISIONS IN AND OUTSIDE MUNICIPALITY'S EXTRATERRITORIAL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