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86R9908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female representation on the governing authorities of certain business entities;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 Business Organizations Code, is amended by adding Subchapter C-1 to read as follows:</w:t>
      </w:r>
    </w:p>
    <w:p w:rsidR="003F3435" w:rsidRDefault="0032493E">
      <w:pPr>
        <w:spacing w:line="480" w:lineRule="auto"/>
        <w:jc w:val="center"/>
      </w:pPr>
      <w:r>
        <w:rPr>
          <w:u w:val="single"/>
        </w:rPr>
        <w:t xml:space="preserve">SUBCHAPTER C-1. COMPOSITION OF GOVERNING AUTHORITY FOR CERTAIN BUSINESS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3.115.</w:t>
      </w:r>
      <w:r>
        <w:rPr>
          <w:u w:val="single"/>
        </w:rPr>
        <w:t xml:space="preserve"> </w:t>
      </w:r>
      <w:r>
        <w:rPr>
          <w:u w:val="single"/>
        </w:rPr>
        <w:t xml:space="preserve"> </w:t>
      </w:r>
      <w:r>
        <w:rPr>
          <w:u w:val="single"/>
        </w:rPr>
        <w:t xml:space="preserve">DEFINITIONS.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"Female" means an individual who self-identifies the individual's gender as female.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authority" has the meaning assigned by Section 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"Headquarters"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respect to a publicly traded corporation, the location listed on the corporation's most recent Form 10-K filed with the Securities and Exchange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for-profit entity that is not a publicly traded corporation, the location of the entity's principal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"Publicly traded corporation" means a corporation that has a class or series of the corporation's voting shares qualified for trading on a national securities exchange.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"Qualifying business" means a for-profit entity that is formed under the laws of or has its headquarters located in this state and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publicly traded corporation;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corporation, limited liability company, or other business organization, however organized, that generates annual revenue of more than $20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3.116.</w:t>
      </w:r>
      <w:r>
        <w:rPr>
          <w:u w:val="single"/>
        </w:rPr>
        <w:t xml:space="preserve"> </w:t>
      </w:r>
      <w:r>
        <w:rPr>
          <w:u w:val="single"/>
        </w:rPr>
        <w:t xml:space="preserve"> </w:t>
      </w:r>
      <w:r>
        <w:rPr>
          <w:u w:val="single"/>
        </w:rPr>
        <w:t xml:space="preserve">COMPOSITION OF GOVERNING AUTHORITY FOR CERTAIN BUSINESS ENTITIES: FEMALE REPRESENTATION REQUIRED. </w:t>
      </w:r>
      <w:r>
        <w:rPr>
          <w:u w:val="single"/>
        </w:rPr>
        <w:t xml:space="preserve"> </w:t>
      </w:r>
      <w:r>
        <w:rPr>
          <w:u w:val="single"/>
        </w:rPr>
        <w:t xml:space="preserve">(a) </w:t>
      </w:r>
      <w:r>
        <w:rPr>
          <w:u w:val="single"/>
        </w:rPr>
        <w:t xml:space="preserve"> </w:t>
      </w:r>
      <w:r>
        <w:rPr>
          <w:u w:val="single"/>
        </w:rPr>
        <w:t xml:space="preserve">This section does not apply to a qualifying business that has one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business must have at least one member on the business's governing authority who is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qualifying business is considered to be in compliance with Subsection (b) if, for at least six months during a calendar year, the business has at least one member who is female on the business's governing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3.117.</w:t>
      </w:r>
      <w:r>
        <w:rPr>
          <w:u w:val="single"/>
        </w:rPr>
        <w:t xml:space="preserve"> </w:t>
      </w:r>
      <w:r>
        <w:rPr>
          <w:u w:val="single"/>
        </w:rPr>
        <w:t xml:space="preserve"> </w:t>
      </w:r>
      <w:r>
        <w:rPr>
          <w:u w:val="single"/>
        </w:rPr>
        <w:t xml:space="preserve">NOTICE OF VIOLATION. </w:t>
      </w:r>
      <w:r>
        <w:rPr>
          <w:u w:val="single"/>
        </w:rPr>
        <w:t xml:space="preserve"> </w:t>
      </w:r>
      <w:r>
        <w:rPr>
          <w:u w:val="single"/>
        </w:rPr>
        <w:t xml:space="preserve">The secretary of state shall provide notice of a violation of Section 3.116(b) to each qualifying business that violates that subsection not later than January 31 of the year following the calendar year in which the violation occurred.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3.118.</w:t>
      </w:r>
      <w:r>
        <w:rPr>
          <w:u w:val="single"/>
        </w:rPr>
        <w:t xml:space="preserve"> </w:t>
      </w:r>
      <w:r>
        <w:rPr>
          <w:u w:val="single"/>
        </w:rPr>
        <w:t xml:space="preserve"> </w:t>
      </w:r>
      <w:r>
        <w:rPr>
          <w:u w:val="single"/>
        </w:rPr>
        <w:t xml:space="preserve">ADMINISTRATIVE PENALTY FOR VIOLATION OF GOVERNING AUTHORITY COMPOSITION REQUIREMENTS.  (a) </w:t>
      </w:r>
      <w:r>
        <w:rPr>
          <w:u w:val="single"/>
        </w:rPr>
        <w:t xml:space="preserve"> </w:t>
      </w:r>
      <w:r>
        <w:rPr>
          <w:u w:val="single"/>
        </w:rPr>
        <w:t xml:space="preserve">Except as provided by Subsection (d), the secretary of state may impose an administrative penalty on a qualifying business that violates Section 3.116(b). </w:t>
      </w:r>
      <w:r>
        <w:rPr>
          <w:u w:val="single"/>
        </w:rPr>
        <w:t xml:space="preserve"> </w:t>
      </w:r>
      <w:r>
        <w:rPr>
          <w:u w:val="single"/>
        </w:rPr>
        <w:t xml:space="preserve">The penalty may be in an amount not to exceed $100,000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an administrative penalty imposed under this section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history of any previous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necessary to deter future violations;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efforts to correct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administrative penalty collected under this section shall be remitted to the comptroller for deposit in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not impose an administrative penalty on a qualifying business under this section if the business has at least one member of the business's governing authority who is female before the 61st day following the date a notice of violation under Section 3.117 was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3.119.</w:t>
      </w:r>
      <w:r>
        <w:rPr>
          <w:u w:val="single"/>
        </w:rPr>
        <w:t xml:space="preserve"> </w:t>
      </w:r>
      <w:r>
        <w:rPr>
          <w:u w:val="single"/>
        </w:rPr>
        <w:t xml:space="preserve"> </w:t>
      </w:r>
      <w:r>
        <w:rPr>
          <w:u w:val="single"/>
        </w:rPr>
        <w:t xml:space="preserve">PUBLIC REPORT ON COMPLIANCE.</w:t>
      </w:r>
      <w:r>
        <w:rPr>
          <w:u w:val="single"/>
        </w:rPr>
        <w:t xml:space="preserve"> </w:t>
      </w:r>
      <w:r>
        <w:rPr>
          <w:u w:val="single"/>
        </w:rPr>
        <w:t xml:space="preserve"> </w:t>
      </w:r>
      <w:r>
        <w:rPr>
          <w:u w:val="single"/>
        </w:rPr>
        <w:t xml:space="preserve">Not later than June 1 of each year, the secretary of state shall publish on the secretary of state's Internet website a report regarding the compliance of qualifying businesses with Section 3.116(b) during the preceding calendar year.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qualifying businesses that were in compliance with Section 3.116(b) at any time during the preceding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entities that were subject to the requirements of that section at any time during the preceding calendar year but are no longer subject to that section because the entity is no longer considered a qualifying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w:t>
      </w:r>
      <w:r>
        <w:rPr>
          <w:u w:val="single"/>
        </w:rPr>
        <w:t xml:space="preserve"> </w:t>
      </w:r>
      <w:r>
        <w:rPr>
          <w:u w:val="single"/>
        </w:rPr>
        <w:t xml:space="preserve"> </w:t>
      </w:r>
      <w:r>
        <w:rPr>
          <w:u w:val="single"/>
        </w:rPr>
        <w:t xml:space="preserve">RULES. </w:t>
      </w:r>
      <w:r>
        <w:rPr>
          <w:u w:val="single"/>
        </w:rPr>
        <w:t xml:space="preserve"> </w:t>
      </w:r>
      <w:r>
        <w:rPr>
          <w:u w:val="single"/>
        </w:rPr>
        <w:t xml:space="preserve">The secretary of state may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11.251(b),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may terminate a filing entity's existence if the secretary finds that:</w:t>
      </w:r>
    </w:p>
    <w:p w:rsidR="003F3435" w:rsidRDefault="0032493E">
      <w:pPr>
        <w:spacing w:line="480" w:lineRule="auto"/>
        <w:ind w:firstLine="1440"/>
        <w:jc w:val="both"/>
      </w:pPr>
      <w:r>
        <w:t xml:space="preserve">(1)</w:t>
      </w:r>
      <w:r xml:space="preserve">
        <w:t> </w:t>
      </w:r>
      <w:r xml:space="preserve">
        <w:t> </w:t>
      </w:r>
      <w:r>
        <w:t xml:space="preserve">the entity has failed to, and, before the 91st day after the date notice was mailed has not corrected the entity's failure to:</w:t>
      </w:r>
    </w:p>
    <w:p w:rsidR="003F3435" w:rsidRDefault="0032493E">
      <w:pPr>
        <w:spacing w:line="480" w:lineRule="auto"/>
        <w:ind w:firstLine="2160"/>
        <w:jc w:val="both"/>
      </w:pPr>
      <w:r>
        <w:t xml:space="preserve">(A)</w:t>
      </w:r>
      <w:r xml:space="preserve">
        <w:t> </w:t>
      </w:r>
      <w:r xml:space="preserve">
        <w:t> </w:t>
      </w:r>
      <w:r>
        <w:t xml:space="preserve">file a report within the period required by law or pay a fee or penalty prescribed by law when due and payable; or</w:t>
      </w:r>
    </w:p>
    <w:p w:rsidR="003F3435" w:rsidRDefault="0032493E">
      <w:pPr>
        <w:spacing w:line="480" w:lineRule="auto"/>
        <w:ind w:firstLine="2160"/>
        <w:jc w:val="both"/>
      </w:pPr>
      <w:r>
        <w:t xml:space="preserve">(B)</w:t>
      </w:r>
      <w:r xml:space="preserve">
        <w:t> </w:t>
      </w:r>
      <w:r xml:space="preserve">
        <w:t> </w:t>
      </w:r>
      <w:r>
        <w:t xml:space="preserve">maintain a registered agent or registered office in this state as required by law;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entity has failed to, and, before the 16th day after the date notice was mailed has not corrected the entity's failure to, pay a fee required in connection with the filing of its certificate of formation, or payment of the fee was dishonored when presented by the state for payment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violated Section 3.116(b), and, before the 61st day after the date notice of the violation was provided as required by Section 3.117, the entity has not corrected the entity's failure to comply with Section 3.116(b)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secretary of state is required to publish the initial report required by Section 3.119, Business Organizations Code, as added by this Act, not later than June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qualifying business, as defined by Section 3.115, Business Organizations Code, as added by this Act, must comply with Section 3.116(b), Business Organizations Code, as added by this Act, beginning with the 2020 calendar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