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86R14228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2020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health risk information; authorizing administrative penalties and other sanctions.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Insurance Code, is amended by adding Chapter 564 to read as follows:</w:t>
      </w:r>
    </w:p>
    <w:p w:rsidR="003F3435" w:rsidRDefault="0032493E">
      <w:pPr>
        <w:spacing w:line="480" w:lineRule="auto"/>
        <w:jc w:val="center"/>
      </w:pPr>
      <w:r>
        <w:rPr>
          <w:u w:val="single"/>
        </w:rPr>
        <w:t xml:space="preserve">CHAPTER 564. USE OF HEALTH RISK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action" means an action taken by a health benefit plan issuer with respect to an individual in connection with the administration of or underwriting for a health benefit plan that results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denial of coverage for a particular benefit, treatment, service, supply, or drug;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declination, cancellation, or nonrenewal of health benefit plan coverage;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restriction of coverage under a health benefit plan, including the application of particular deductible, coinsurance, or copayment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"Enrollee" means an individual who is enrolled in a health benefit plan.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benefit plan" means a plan to which this chapter applies under Section 564.0002.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risk information" means any health-related information contained in a health risk report.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risk report" means the communication of information assembled or evaluated by a health risk reporting agency that relates to an individual's health, including the individual's: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of benefits under a health benefit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having received a specific diagnosis or having been the recipient of a particular health care treatment, service, or supply, or of a prescription for a particular drug.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"Health risk reporting agency" means any person that regularly engages in the practice of assembling or evaluating health risk information for the purpose of providing health risk reports to third parties, without regard to whether the person receives compensation for providing the reports.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health benefit plan issuer assembling information obtained as a result of providing benefits to a plan enrollee for the health benefit plan issuer's use in the administration of the health benefit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physician, health care practitioner, or health care provider assembling information for the physician's, practitioner's, or provider's use, or for the use of a group practice to which the physician, practitioner, or provider belongs, in providing services to patients.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risk score" means a number or rating assigned to an individual and derived from an algorithm, computer application, model, or other process based on the individual's health risk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564.0002.</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564.0003.</w:t>
      </w:r>
      <w:r>
        <w:rPr>
          <w:u w:val="single"/>
        </w:rPr>
        <w:t xml:space="preserve"> </w:t>
      </w:r>
      <w:r>
        <w:rPr>
          <w:u w:val="single"/>
        </w:rPr>
        <w:t xml:space="preserve"> </w:t>
      </w:r>
      <w:r>
        <w:rPr>
          <w:u w:val="single"/>
        </w:rPr>
        <w:t xml:space="preserve">RULES. </w:t>
      </w:r>
      <w:r>
        <w:rPr>
          <w:u w:val="single"/>
        </w:rPr>
        <w:t xml:space="preserve"> </w:t>
      </w:r>
      <w:r>
        <w:rPr>
          <w:u w:val="single"/>
        </w:rPr>
        <w:t xml:space="preserve">The commissioner may adopt rules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564.0004.</w:t>
      </w:r>
      <w:r>
        <w:rPr>
          <w:u w:val="single"/>
        </w:rPr>
        <w:t xml:space="preserve"> </w:t>
      </w:r>
      <w:r>
        <w:rPr>
          <w:u w:val="single"/>
        </w:rPr>
        <w:t xml:space="preserve"> </w:t>
      </w:r>
      <w:r>
        <w:rPr>
          <w:u w:val="single"/>
        </w:rPr>
        <w:t xml:space="preserve">PROHIBITED USE OF HEALTH RISK INFORMATION.  (a) </w:t>
      </w:r>
      <w:r>
        <w:rPr>
          <w:u w:val="single"/>
        </w:rPr>
        <w:t xml:space="preserve"> </w:t>
      </w:r>
      <w:r>
        <w:rPr>
          <w:u w:val="single"/>
        </w:rPr>
        <w:t xml:space="preserve">A health benefit plan issuer may not take an adverse action with respect to an enrollee or prospective enrollee that is based on the individual's health risk score or any health risk information derived from a health risk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issuer may not share an individual's health risk score, health risk report, or any health risk information derived from a health risk report with any other person or entity, including a network provider or preferred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564.0005.</w:t>
      </w:r>
      <w:r>
        <w:rPr>
          <w:u w:val="single"/>
        </w:rPr>
        <w:t xml:space="preserve"> </w:t>
      </w:r>
      <w:r>
        <w:rPr>
          <w:u w:val="single"/>
        </w:rPr>
        <w:t xml:space="preserve"> </w:t>
      </w:r>
      <w:r>
        <w:rPr>
          <w:u w:val="single"/>
        </w:rPr>
        <w:t xml:space="preserve">DISCLOSURE TO ENROLLEE.  On request of an enrollee, a health benefit plan issuer shall provide to the enrollee, at no cost to the enrollee, any health risk score, health risk report, or health risk information in the possession of the health benefit plan issuer that relates to the enrollee.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564.0006.</w:t>
      </w:r>
      <w:r>
        <w:rPr>
          <w:u w:val="single"/>
        </w:rPr>
        <w:t xml:space="preserve"> </w:t>
      </w:r>
      <w:r>
        <w:rPr>
          <w:u w:val="single"/>
        </w:rPr>
        <w:t xml:space="preserve"> </w:t>
      </w:r>
      <w:r>
        <w:rPr>
          <w:u w:val="single"/>
        </w:rPr>
        <w:t xml:space="preserve">VIOLATION.  A health benefit plan issuer that violates this chapter or a rule adopted under this chapter commits an unfair practice in violation of Chapter 541 and is subject to administrative penalties and other sanctions under Chapter 82.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A, Title 3, Occupations Code, is amended by adding Chapter 116 to read as follows:</w:t>
      </w:r>
    </w:p>
    <w:p w:rsidR="003F3435" w:rsidRDefault="0032493E">
      <w:pPr>
        <w:spacing w:line="480" w:lineRule="auto"/>
        <w:jc w:val="center"/>
      </w:pPr>
      <w:r>
        <w:rPr>
          <w:u w:val="single"/>
        </w:rPr>
        <w:t xml:space="preserve">CHAPTER 116. USE OF CERTAIN HEALTH RISK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care practitioner" means an individual licensed, certified, or registered under this title.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risk information," "health risk report," and "health risk score" have the meanings assigned by Section 564.0001, Insurance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116.0002.</w:t>
      </w:r>
      <w:r>
        <w:rPr>
          <w:u w:val="single"/>
        </w:rPr>
        <w:t xml:space="preserve"> </w:t>
      </w:r>
      <w:r>
        <w:rPr>
          <w:u w:val="single"/>
        </w:rPr>
        <w:t xml:space="preserve"> </w:t>
      </w:r>
      <w:r>
        <w:rPr>
          <w:u w:val="single"/>
        </w:rPr>
        <w:t xml:space="preserve">PROHIBITED USE OF HEALTH RISK INFORMATION. </w:t>
      </w:r>
      <w:r>
        <w:rPr>
          <w:u w:val="single"/>
        </w:rPr>
        <w:t xml:space="preserve"> </w:t>
      </w:r>
      <w:r>
        <w:rPr>
          <w:u w:val="single"/>
        </w:rPr>
        <w:t xml:space="preserve">A health care practitioner may not make a diagnosis or treatment decision, including a decision to prescribe a particular drug, based on an individual's health risk score or any health risk information derived from a health risk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116.0003.</w:t>
      </w:r>
      <w:r>
        <w:rPr>
          <w:u w:val="single"/>
        </w:rPr>
        <w:t xml:space="preserve"> </w:t>
      </w:r>
      <w:r>
        <w:rPr>
          <w:u w:val="single"/>
        </w:rPr>
        <w:t xml:space="preserve"> </w:t>
      </w:r>
      <w:r>
        <w:rPr>
          <w:u w:val="single"/>
        </w:rPr>
        <w:t xml:space="preserve">DISCLOSURE REQUIRED.  On request, a health care practitioner shall provide to an individual to whom the practitioner is providing services, at no cost to the individual, any health risk score, health risk report, or health risk information in the possession of the health care practitioner that relates to the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116.0004.</w:t>
      </w:r>
      <w:r>
        <w:rPr>
          <w:u w:val="single"/>
        </w:rPr>
        <w:t xml:space="preserve"> </w:t>
      </w:r>
      <w:r>
        <w:rPr>
          <w:u w:val="single"/>
        </w:rPr>
        <w:t xml:space="preserve"> </w:t>
      </w:r>
      <w:r>
        <w:rPr>
          <w:u w:val="single"/>
        </w:rPr>
        <w:t xml:space="preserve">DISCIPLINARY ACTION.  A violation of Section 116.0002 or 116.0003 is grounds for disciplinary action by the regulatory agency that issued a license, certification, or registration to the health care practitioner who committed the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